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eastAsia="黑体"/>
          <w:sz w:val="72"/>
          <w:bdr w:val="single" w:color="auto" w:sz="4" w:space="0"/>
        </w:rPr>
      </w:pPr>
      <w:bookmarkStart w:id="0" w:name="_Toc27374"/>
      <w:bookmarkStart w:id="1" w:name="OLE_LINK1"/>
    </w:p>
    <w:p>
      <w:pPr>
        <w:adjustRightInd w:val="0"/>
        <w:snapToGrid w:val="0"/>
        <w:spacing w:line="360" w:lineRule="auto"/>
        <w:jc w:val="center"/>
        <w:rPr>
          <w:rFonts w:eastAsia="黑体"/>
          <w:b/>
          <w:bCs/>
          <w:sz w:val="52"/>
          <w:szCs w:val="52"/>
        </w:rPr>
      </w:pPr>
      <w:r>
        <w:rPr>
          <w:rFonts w:eastAsia="黑体"/>
          <w:b/>
          <w:bCs/>
          <w:sz w:val="52"/>
          <w:szCs w:val="52"/>
        </w:rPr>
        <w:t>建设项目环境影响报告表</w:t>
      </w:r>
    </w:p>
    <w:p>
      <w:pPr>
        <w:adjustRightInd w:val="0"/>
        <w:snapToGrid w:val="0"/>
        <w:spacing w:line="360" w:lineRule="auto"/>
        <w:jc w:val="center"/>
        <w:rPr>
          <w:b/>
          <w:bCs/>
          <w:sz w:val="36"/>
          <w:szCs w:val="36"/>
        </w:rPr>
      </w:pPr>
      <w:r>
        <w:rPr>
          <w:rFonts w:eastAsia="黑体"/>
          <w:b/>
          <w:bCs/>
          <w:sz w:val="36"/>
          <w:szCs w:val="36"/>
        </w:rPr>
        <w:t>（</w:t>
      </w:r>
      <w:r>
        <w:rPr>
          <w:rFonts w:hint="eastAsia" w:eastAsia="黑体"/>
          <w:b/>
          <w:bCs/>
          <w:sz w:val="36"/>
          <w:szCs w:val="36"/>
        </w:rPr>
        <w:t>报批</w:t>
      </w:r>
      <w:r>
        <w:rPr>
          <w:rFonts w:eastAsia="黑体"/>
          <w:b/>
          <w:bCs/>
          <w:sz w:val="36"/>
          <w:szCs w:val="36"/>
        </w:rPr>
        <w:t>稿）</w:t>
      </w: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spacing w:line="360" w:lineRule="auto"/>
      </w:pPr>
    </w:p>
    <w:p>
      <w:pPr>
        <w:adjustRightInd w:val="0"/>
        <w:snapToGrid w:val="0"/>
        <w:spacing w:line="480" w:lineRule="auto"/>
        <w:ind w:firstLine="435"/>
        <w:rPr>
          <w:rFonts w:ascii="宋体" w:hAnsi="宋体" w:cs="宋体"/>
          <w:b/>
          <w:sz w:val="36"/>
          <w:szCs w:val="36"/>
        </w:rPr>
      </w:pPr>
    </w:p>
    <w:p>
      <w:pPr>
        <w:adjustRightInd w:val="0"/>
        <w:snapToGrid w:val="0"/>
        <w:spacing w:line="480" w:lineRule="auto"/>
        <w:ind w:firstLine="437"/>
        <w:jc w:val="center"/>
        <w:rPr>
          <w:rFonts w:ascii="宋体" w:hAnsi="宋体" w:cs="宋体"/>
          <w:b/>
          <w:sz w:val="36"/>
          <w:szCs w:val="36"/>
          <w:u w:val="single"/>
        </w:rPr>
      </w:pPr>
      <w:r>
        <w:rPr>
          <w:rFonts w:hint="eastAsia" w:ascii="宋体" w:hAnsi="宋体" w:cs="宋体"/>
          <w:b/>
          <w:sz w:val="36"/>
          <w:szCs w:val="36"/>
        </w:rPr>
        <w:t>项目名称：</w:t>
      </w:r>
      <w:r>
        <w:rPr>
          <w:rFonts w:hint="eastAsia" w:ascii="宋体" w:hAnsi="宋体" w:cs="宋体"/>
          <w:b/>
          <w:sz w:val="36"/>
          <w:szCs w:val="36"/>
          <w:u w:val="single"/>
        </w:rPr>
        <w:t>大理州洱源县洱海流域污水处理厂提标改造及管网修复完善工程</w:t>
      </w:r>
    </w:p>
    <w:p>
      <w:pPr>
        <w:adjustRightInd w:val="0"/>
        <w:snapToGrid w:val="0"/>
        <w:spacing w:line="480" w:lineRule="auto"/>
        <w:ind w:firstLine="435"/>
        <w:rPr>
          <w:sz w:val="22"/>
          <w:szCs w:val="21"/>
          <w:u w:val="single"/>
        </w:rPr>
      </w:pPr>
      <w:r>
        <w:rPr>
          <w:rFonts w:ascii="宋体" w:hAnsi="宋体" w:cs="宋体"/>
          <w:b/>
          <w:sz w:val="36"/>
          <w:szCs w:val="36"/>
        </w:rPr>
        <w:t>建设单位（盖章）：</w:t>
      </w:r>
      <w:r>
        <w:rPr>
          <w:rFonts w:hint="eastAsia" w:ascii="宋体" w:hAnsi="宋体" w:cs="宋体"/>
          <w:b/>
          <w:sz w:val="36"/>
          <w:szCs w:val="36"/>
          <w:u w:val="single"/>
        </w:rPr>
        <w:t>洱源县洱海流域管理局</w:t>
      </w:r>
    </w:p>
    <w:p>
      <w:pPr>
        <w:ind w:firstLine="435"/>
        <w:jc w:val="center"/>
      </w:pPr>
    </w:p>
    <w:p>
      <w:pPr>
        <w:ind w:firstLine="435"/>
        <w:jc w:val="center"/>
      </w:pPr>
    </w:p>
    <w:p>
      <w:pPr>
        <w:ind w:firstLine="435"/>
        <w:jc w:val="center"/>
      </w:pPr>
    </w:p>
    <w:p>
      <w:pPr>
        <w:ind w:firstLine="435"/>
        <w:jc w:val="center"/>
        <w:rPr>
          <w:sz w:val="48"/>
        </w:rPr>
      </w:pPr>
    </w:p>
    <w:p>
      <w:pPr>
        <w:spacing w:line="480" w:lineRule="auto"/>
        <w:jc w:val="center"/>
        <w:rPr>
          <w:rFonts w:ascii="黑体" w:hAnsi="黑体" w:eastAsia="黑体"/>
          <w:sz w:val="28"/>
          <w:szCs w:val="28"/>
        </w:rPr>
      </w:pPr>
    </w:p>
    <w:p>
      <w:pPr>
        <w:spacing w:line="480" w:lineRule="auto"/>
        <w:jc w:val="center"/>
        <w:rPr>
          <w:rFonts w:ascii="黑体" w:hAnsi="黑体" w:eastAsia="黑体"/>
          <w:sz w:val="28"/>
          <w:szCs w:val="28"/>
        </w:rPr>
      </w:pPr>
    </w:p>
    <w:p>
      <w:pPr>
        <w:spacing w:line="480" w:lineRule="auto"/>
        <w:jc w:val="center"/>
        <w:rPr>
          <w:rFonts w:ascii="黑体" w:hAnsi="黑体" w:eastAsia="黑体"/>
          <w:sz w:val="28"/>
          <w:szCs w:val="28"/>
        </w:rPr>
      </w:pPr>
    </w:p>
    <w:p>
      <w:pPr>
        <w:spacing w:line="480" w:lineRule="auto"/>
        <w:jc w:val="center"/>
        <w:rPr>
          <w:rFonts w:ascii="黑体" w:hAnsi="黑体" w:eastAsia="黑体"/>
          <w:sz w:val="28"/>
          <w:szCs w:val="28"/>
        </w:rPr>
      </w:pPr>
      <w:r>
        <w:rPr>
          <w:rFonts w:ascii="黑体" w:hAnsi="黑体" w:eastAsia="黑体"/>
          <w:sz w:val="28"/>
          <w:szCs w:val="28"/>
        </w:rPr>
        <w:t>编制单位：</w:t>
      </w:r>
      <w:r>
        <w:rPr>
          <w:rFonts w:hint="eastAsia" w:ascii="黑体" w:hAnsi="黑体" w:eastAsia="黑体"/>
          <w:sz w:val="28"/>
          <w:szCs w:val="28"/>
        </w:rPr>
        <w:t>云南佳泽环境科技有限公司</w:t>
      </w:r>
    </w:p>
    <w:p>
      <w:pPr>
        <w:spacing w:line="480" w:lineRule="auto"/>
        <w:jc w:val="center"/>
        <w:rPr>
          <w:rFonts w:ascii="黑体" w:hAnsi="黑体" w:eastAsia="黑体"/>
          <w:sz w:val="28"/>
          <w:szCs w:val="28"/>
        </w:rPr>
      </w:pPr>
      <w:r>
        <w:rPr>
          <w:rFonts w:ascii="黑体" w:hAnsi="黑体" w:eastAsia="黑体"/>
          <w:sz w:val="28"/>
          <w:szCs w:val="28"/>
        </w:rPr>
        <w:t xml:space="preserve">  二〇</w:t>
      </w:r>
      <w:r>
        <w:rPr>
          <w:rFonts w:hint="eastAsia" w:ascii="黑体" w:hAnsi="黑体" w:eastAsia="黑体"/>
          <w:sz w:val="28"/>
          <w:szCs w:val="28"/>
        </w:rPr>
        <w:t>二一</w:t>
      </w:r>
      <w:r>
        <w:rPr>
          <w:rFonts w:ascii="黑体" w:hAnsi="黑体" w:eastAsia="黑体"/>
          <w:sz w:val="28"/>
          <w:szCs w:val="28"/>
        </w:rPr>
        <w:t>年</w:t>
      </w:r>
      <w:r>
        <w:rPr>
          <w:rFonts w:hint="eastAsia" w:ascii="黑体" w:hAnsi="黑体" w:eastAsia="黑体"/>
          <w:sz w:val="28"/>
          <w:szCs w:val="28"/>
        </w:rPr>
        <w:t>三</w:t>
      </w:r>
      <w:r>
        <w:rPr>
          <w:rFonts w:ascii="黑体" w:hAnsi="黑体" w:eastAsia="黑体"/>
          <w:sz w:val="28"/>
          <w:szCs w:val="28"/>
        </w:rPr>
        <w:t>月</w:t>
      </w:r>
    </w:p>
    <w:p>
      <w:pPr>
        <w:rPr>
          <w:rFonts w:eastAsia="黑体"/>
          <w:sz w:val="28"/>
          <w:szCs w:val="28"/>
        </w:rPr>
      </w:pPr>
    </w:p>
    <w:p>
      <w:pPr>
        <w:jc w:val="center"/>
        <w:rPr>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type="lines" w:linePitch="312" w:charSpace="0"/>
        </w:sectPr>
      </w:pPr>
    </w:p>
    <w:p>
      <w:pPr>
        <w:jc w:val="center"/>
        <w:rPr>
          <w:rFonts w:eastAsia="黑体"/>
          <w:sz w:val="44"/>
          <w:szCs w:val="44"/>
        </w:rPr>
      </w:pPr>
      <w:r>
        <w:rPr>
          <w:b/>
          <w:sz w:val="28"/>
          <w:szCs w:val="28"/>
        </w:rPr>
        <w:t>《建设项目环境影响报告表》编制说明</w:t>
      </w:r>
    </w:p>
    <w:p>
      <w:pPr>
        <w:spacing w:line="360" w:lineRule="auto"/>
        <w:ind w:firstLine="630"/>
        <w:rPr>
          <w:sz w:val="28"/>
          <w:szCs w:val="28"/>
        </w:rPr>
      </w:pPr>
    </w:p>
    <w:p>
      <w:pPr>
        <w:spacing w:line="360" w:lineRule="auto"/>
        <w:ind w:firstLine="630"/>
        <w:rPr>
          <w:sz w:val="28"/>
          <w:szCs w:val="28"/>
        </w:rPr>
      </w:pPr>
      <w:r>
        <w:rPr>
          <w:sz w:val="28"/>
          <w:szCs w:val="28"/>
        </w:rPr>
        <w:t>《编制项目环境影响报告表》由具有从事环境影响评价工作资质的单位编制。</w:t>
      </w:r>
    </w:p>
    <w:p>
      <w:pPr>
        <w:spacing w:line="360" w:lineRule="auto"/>
        <w:ind w:firstLine="630"/>
        <w:rPr>
          <w:sz w:val="28"/>
          <w:szCs w:val="28"/>
        </w:rPr>
      </w:pPr>
      <w:r>
        <w:rPr>
          <w:sz w:val="28"/>
          <w:szCs w:val="28"/>
        </w:rPr>
        <w:t>1、项目名称─指项目立项批复时的名称，应不超过30个字（两个英文字段作一个汉字）。</w:t>
      </w:r>
    </w:p>
    <w:p>
      <w:pPr>
        <w:spacing w:line="360" w:lineRule="auto"/>
        <w:ind w:firstLine="630"/>
        <w:rPr>
          <w:sz w:val="28"/>
          <w:szCs w:val="28"/>
        </w:rPr>
      </w:pPr>
      <w:r>
        <w:rPr>
          <w:sz w:val="28"/>
          <w:szCs w:val="28"/>
        </w:rPr>
        <w:t>2、建设地点─指项目所在地详细地址，公路、铁路应填写起止地点。</w:t>
      </w:r>
    </w:p>
    <w:p>
      <w:pPr>
        <w:spacing w:line="360" w:lineRule="auto"/>
        <w:ind w:firstLine="630"/>
        <w:rPr>
          <w:sz w:val="28"/>
          <w:szCs w:val="28"/>
        </w:rPr>
      </w:pPr>
      <w:r>
        <w:rPr>
          <w:sz w:val="28"/>
          <w:szCs w:val="28"/>
        </w:rPr>
        <w:t>3、行业类别─按国标填写。</w:t>
      </w:r>
    </w:p>
    <w:p>
      <w:pPr>
        <w:spacing w:line="360" w:lineRule="auto"/>
        <w:ind w:firstLine="630"/>
        <w:rPr>
          <w:sz w:val="28"/>
          <w:szCs w:val="28"/>
        </w:rPr>
      </w:pPr>
      <w:r>
        <w:rPr>
          <w:sz w:val="28"/>
          <w:szCs w:val="28"/>
        </w:rPr>
        <w:t>4、总投资─指项目投资总额。</w:t>
      </w:r>
    </w:p>
    <w:p>
      <w:pPr>
        <w:spacing w:line="360" w:lineRule="auto"/>
        <w:ind w:firstLine="630"/>
        <w:rPr>
          <w:sz w:val="28"/>
          <w:szCs w:val="28"/>
        </w:rPr>
      </w:pPr>
      <w:r>
        <w:rPr>
          <w:sz w:val="28"/>
          <w:szCs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630"/>
        <w:rPr>
          <w:sz w:val="28"/>
          <w:szCs w:val="28"/>
        </w:rPr>
      </w:pPr>
      <w:r>
        <w:rPr>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630"/>
        <w:rPr>
          <w:sz w:val="28"/>
          <w:szCs w:val="28"/>
        </w:rPr>
      </w:pPr>
      <w:r>
        <w:rPr>
          <w:sz w:val="28"/>
          <w:szCs w:val="28"/>
        </w:rPr>
        <w:t>7、预审意见─由行业主管部门填写答复意见，无主管部门项目，可不填。</w:t>
      </w:r>
    </w:p>
    <w:p>
      <w:pPr>
        <w:spacing w:line="360" w:lineRule="auto"/>
        <w:ind w:firstLine="560" w:firstLineChars="200"/>
        <w:rPr>
          <w:sz w:val="28"/>
          <w:szCs w:val="28"/>
        </w:rPr>
        <w:sectPr>
          <w:footerReference r:id="rId10" w:type="first"/>
          <w:footerReference r:id="rId9" w:type="default"/>
          <w:pgSz w:w="11906" w:h="16838"/>
          <w:pgMar w:top="1440" w:right="1800" w:bottom="1440" w:left="1800" w:header="851" w:footer="992" w:gutter="0"/>
          <w:cols w:space="720" w:num="1"/>
          <w:docGrid w:type="lines" w:linePitch="312" w:charSpace="0"/>
        </w:sectPr>
      </w:pPr>
      <w:r>
        <w:rPr>
          <w:sz w:val="28"/>
          <w:szCs w:val="28"/>
        </w:rPr>
        <w:t>8、审批意见─由负责审批该项目的环境保护行政主管部门批复。</w:t>
      </w:r>
    </w:p>
    <w:p>
      <w:pPr>
        <w:pStyle w:val="31"/>
        <w:tabs>
          <w:tab w:val="right" w:leader="dot" w:pos="8398"/>
        </w:tabs>
        <w:ind w:left="480"/>
        <w:jc w:val="center"/>
        <w:rPr>
          <w:b/>
          <w:bCs/>
          <w:sz w:val="32"/>
          <w:szCs w:val="32"/>
        </w:rPr>
      </w:pPr>
      <w:r>
        <w:rPr>
          <w:b/>
          <w:bCs/>
          <w:sz w:val="32"/>
          <w:szCs w:val="32"/>
        </w:rPr>
        <w:t>目    录</w:t>
      </w:r>
    </w:p>
    <w:p>
      <w:pPr>
        <w:pStyle w:val="31"/>
        <w:tabs>
          <w:tab w:val="right" w:leader="dot" w:pos="8959"/>
        </w:tabs>
        <w:spacing w:line="360" w:lineRule="auto"/>
        <w:ind w:left="480"/>
        <w:rPr>
          <w:szCs w:val="24"/>
        </w:rPr>
      </w:pPr>
    </w:p>
    <w:p>
      <w:pPr>
        <w:pStyle w:val="31"/>
        <w:tabs>
          <w:tab w:val="right" w:leader="dot" w:pos="8959"/>
        </w:tabs>
        <w:spacing w:line="360" w:lineRule="auto"/>
        <w:ind w:left="480"/>
        <w:rPr>
          <w:szCs w:val="24"/>
        </w:rPr>
      </w:pPr>
      <w:r>
        <w:rPr>
          <w:szCs w:val="24"/>
        </w:rPr>
        <w:fldChar w:fldCharType="begin"/>
      </w:r>
      <w:r>
        <w:rPr>
          <w:szCs w:val="24"/>
        </w:rPr>
        <w:instrText xml:space="preserve"> TOC \o "1-2" </w:instrText>
      </w:r>
      <w:r>
        <w:rPr>
          <w:szCs w:val="24"/>
        </w:rPr>
        <w:fldChar w:fldCharType="separate"/>
      </w:r>
      <w:r>
        <w:rPr>
          <w:szCs w:val="24"/>
        </w:rPr>
        <w:t>一、建设项目基本情况</w:t>
      </w:r>
      <w:r>
        <w:rPr>
          <w:szCs w:val="24"/>
        </w:rPr>
        <w:tab/>
      </w:r>
      <w:r>
        <w:rPr>
          <w:rFonts w:hint="eastAsia"/>
          <w:szCs w:val="24"/>
        </w:rPr>
        <w:t>1</w:t>
      </w:r>
    </w:p>
    <w:p>
      <w:pPr>
        <w:pStyle w:val="31"/>
        <w:tabs>
          <w:tab w:val="right" w:leader="dot" w:pos="8959"/>
        </w:tabs>
        <w:spacing w:line="360" w:lineRule="auto"/>
        <w:ind w:left="480"/>
        <w:rPr>
          <w:szCs w:val="24"/>
        </w:rPr>
      </w:pPr>
      <w:r>
        <w:rPr>
          <w:szCs w:val="24"/>
        </w:rPr>
        <w:t>二、建设项目所在地自然环境社会环境简况</w:t>
      </w:r>
      <w:r>
        <w:rPr>
          <w:szCs w:val="24"/>
        </w:rPr>
        <w:tab/>
      </w:r>
      <w:r>
        <w:rPr>
          <w:rFonts w:hint="eastAsia"/>
          <w:szCs w:val="24"/>
        </w:rPr>
        <w:t>18</w:t>
      </w:r>
    </w:p>
    <w:p>
      <w:pPr>
        <w:pStyle w:val="31"/>
        <w:tabs>
          <w:tab w:val="right" w:leader="dot" w:pos="8959"/>
        </w:tabs>
        <w:spacing w:line="360" w:lineRule="auto"/>
        <w:ind w:left="480"/>
        <w:rPr>
          <w:szCs w:val="24"/>
        </w:rPr>
      </w:pPr>
      <w:r>
        <w:rPr>
          <w:szCs w:val="24"/>
        </w:rPr>
        <w:t>三、环境质量状况</w:t>
      </w:r>
      <w:r>
        <w:rPr>
          <w:szCs w:val="24"/>
        </w:rPr>
        <w:tab/>
      </w:r>
      <w:r>
        <w:rPr>
          <w:rFonts w:hint="eastAsia"/>
          <w:szCs w:val="24"/>
        </w:rPr>
        <w:t>25</w:t>
      </w:r>
    </w:p>
    <w:p>
      <w:pPr>
        <w:pStyle w:val="31"/>
        <w:tabs>
          <w:tab w:val="right" w:leader="dot" w:pos="8959"/>
        </w:tabs>
        <w:spacing w:line="360" w:lineRule="auto"/>
        <w:ind w:left="480"/>
        <w:rPr>
          <w:szCs w:val="24"/>
        </w:rPr>
      </w:pPr>
      <w:r>
        <w:rPr>
          <w:szCs w:val="24"/>
        </w:rPr>
        <w:t>四、评价适用标准</w:t>
      </w:r>
      <w:r>
        <w:rPr>
          <w:szCs w:val="24"/>
        </w:rPr>
        <w:tab/>
      </w:r>
      <w:r>
        <w:rPr>
          <w:rFonts w:hint="eastAsia"/>
          <w:szCs w:val="24"/>
        </w:rPr>
        <w:t>30</w:t>
      </w:r>
    </w:p>
    <w:p>
      <w:pPr>
        <w:pStyle w:val="31"/>
        <w:tabs>
          <w:tab w:val="right" w:leader="dot" w:pos="8959"/>
        </w:tabs>
        <w:spacing w:line="360" w:lineRule="auto"/>
        <w:ind w:left="480"/>
        <w:rPr>
          <w:szCs w:val="24"/>
        </w:rPr>
      </w:pPr>
      <w:r>
        <w:rPr>
          <w:szCs w:val="24"/>
        </w:rPr>
        <w:t>五、建设项目工程分析</w:t>
      </w:r>
      <w:r>
        <w:rPr>
          <w:szCs w:val="24"/>
        </w:rPr>
        <w:tab/>
      </w:r>
      <w:r>
        <w:rPr>
          <w:rFonts w:hint="eastAsia"/>
          <w:szCs w:val="24"/>
        </w:rPr>
        <w:t>35</w:t>
      </w:r>
    </w:p>
    <w:p>
      <w:pPr>
        <w:pStyle w:val="31"/>
        <w:tabs>
          <w:tab w:val="right" w:leader="dot" w:pos="8959"/>
        </w:tabs>
        <w:spacing w:line="360" w:lineRule="auto"/>
        <w:ind w:left="480"/>
        <w:rPr>
          <w:szCs w:val="24"/>
        </w:rPr>
      </w:pPr>
      <w:r>
        <w:rPr>
          <w:szCs w:val="24"/>
        </w:rPr>
        <w:t>六、项目主要污染物产生及预计排放情况</w:t>
      </w:r>
      <w:r>
        <w:rPr>
          <w:szCs w:val="24"/>
        </w:rPr>
        <w:tab/>
      </w:r>
      <w:r>
        <w:rPr>
          <w:rFonts w:hint="eastAsia"/>
          <w:szCs w:val="24"/>
        </w:rPr>
        <w:t>56</w:t>
      </w:r>
    </w:p>
    <w:p>
      <w:pPr>
        <w:pStyle w:val="31"/>
        <w:tabs>
          <w:tab w:val="right" w:leader="dot" w:pos="8959"/>
        </w:tabs>
        <w:spacing w:line="360" w:lineRule="auto"/>
        <w:ind w:left="480"/>
        <w:rPr>
          <w:szCs w:val="24"/>
        </w:rPr>
      </w:pPr>
      <w:r>
        <w:rPr>
          <w:szCs w:val="24"/>
        </w:rPr>
        <w:t>七、环境影响分析</w:t>
      </w:r>
      <w:r>
        <w:rPr>
          <w:szCs w:val="24"/>
        </w:rPr>
        <w:tab/>
      </w:r>
      <w:r>
        <w:rPr>
          <w:rFonts w:hint="eastAsia"/>
          <w:szCs w:val="24"/>
        </w:rPr>
        <w:t>58</w:t>
      </w:r>
    </w:p>
    <w:p>
      <w:pPr>
        <w:pStyle w:val="31"/>
        <w:tabs>
          <w:tab w:val="right" w:leader="dot" w:pos="8959"/>
        </w:tabs>
        <w:spacing w:line="360" w:lineRule="auto"/>
        <w:ind w:left="480"/>
        <w:rPr>
          <w:szCs w:val="24"/>
        </w:rPr>
      </w:pPr>
      <w:r>
        <w:rPr>
          <w:szCs w:val="24"/>
        </w:rPr>
        <w:t>八、建设项目拟采取的防治措施及预期治理效果</w:t>
      </w:r>
      <w:r>
        <w:rPr>
          <w:szCs w:val="24"/>
        </w:rPr>
        <w:tab/>
      </w:r>
      <w:r>
        <w:rPr>
          <w:rFonts w:hint="eastAsia"/>
          <w:szCs w:val="24"/>
        </w:rPr>
        <w:t>93</w:t>
      </w:r>
    </w:p>
    <w:p>
      <w:pPr>
        <w:pStyle w:val="31"/>
        <w:tabs>
          <w:tab w:val="right" w:leader="dot" w:pos="8959"/>
        </w:tabs>
        <w:spacing w:line="360" w:lineRule="auto"/>
        <w:ind w:left="480"/>
        <w:rPr>
          <w:szCs w:val="24"/>
        </w:rPr>
      </w:pPr>
      <w:r>
        <w:rPr>
          <w:szCs w:val="24"/>
        </w:rPr>
        <w:t>九、结论建议</w:t>
      </w:r>
      <w:r>
        <w:rPr>
          <w:szCs w:val="24"/>
        </w:rPr>
        <w:tab/>
      </w:r>
      <w:r>
        <w:rPr>
          <w:rFonts w:hint="eastAsia"/>
          <w:szCs w:val="24"/>
        </w:rPr>
        <w:t>95</w:t>
      </w:r>
    </w:p>
    <w:p>
      <w:pPr>
        <w:spacing w:line="288" w:lineRule="auto"/>
        <w:ind w:firstLine="360" w:firstLineChars="150"/>
        <w:jc w:val="left"/>
        <w:rPr>
          <w:szCs w:val="24"/>
        </w:rPr>
      </w:pPr>
      <w:r>
        <w:rPr>
          <w:szCs w:val="24"/>
        </w:rPr>
        <w:fldChar w:fldCharType="end"/>
      </w:r>
    </w:p>
    <w:p>
      <w:pPr>
        <w:spacing w:line="288" w:lineRule="auto"/>
        <w:ind w:firstLine="316" w:firstLineChars="150"/>
        <w:jc w:val="left"/>
        <w:rPr>
          <w:b/>
          <w:bCs/>
          <w:sz w:val="21"/>
          <w:szCs w:val="21"/>
        </w:rPr>
      </w:pPr>
      <w:r>
        <w:rPr>
          <w:b/>
          <w:bCs/>
          <w:sz w:val="21"/>
          <w:szCs w:val="21"/>
        </w:rPr>
        <w:t>附图：</w:t>
      </w:r>
    </w:p>
    <w:p>
      <w:pPr>
        <w:pStyle w:val="9"/>
        <w:numPr>
          <w:ilvl w:val="0"/>
          <w:numId w:val="1"/>
        </w:numPr>
        <w:spacing w:line="288" w:lineRule="auto"/>
        <w:ind w:firstLine="420"/>
        <w:rPr>
          <w:rFonts w:ascii="Times New Roman" w:hAnsi="Times New Roman" w:cs="Times New Roman"/>
          <w:sz w:val="21"/>
          <w:szCs w:val="21"/>
        </w:rPr>
      </w:pPr>
      <w:r>
        <w:rPr>
          <w:rFonts w:ascii="Times New Roman" w:hAnsi="Times New Roman" w:cs="Times New Roman"/>
          <w:sz w:val="21"/>
          <w:szCs w:val="21"/>
        </w:rPr>
        <w:t>项目地理位置图</w:t>
      </w:r>
    </w:p>
    <w:p>
      <w:pPr>
        <w:pStyle w:val="9"/>
        <w:numPr>
          <w:ilvl w:val="0"/>
          <w:numId w:val="1"/>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邓川污水厂</w:t>
      </w:r>
      <w:r>
        <w:rPr>
          <w:rFonts w:ascii="Times New Roman" w:hAnsi="Times New Roman" w:cs="Times New Roman"/>
          <w:sz w:val="21"/>
          <w:szCs w:val="21"/>
        </w:rPr>
        <w:t>平面</w:t>
      </w:r>
      <w:r>
        <w:rPr>
          <w:rFonts w:hint="eastAsia" w:ascii="Times New Roman" w:hAnsi="Times New Roman" w:cs="Times New Roman"/>
          <w:sz w:val="21"/>
          <w:szCs w:val="21"/>
        </w:rPr>
        <w:t>布置图</w:t>
      </w:r>
    </w:p>
    <w:p>
      <w:pPr>
        <w:pStyle w:val="9"/>
        <w:numPr>
          <w:ilvl w:val="0"/>
          <w:numId w:val="1"/>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右所污水厂</w:t>
      </w:r>
      <w:r>
        <w:rPr>
          <w:rFonts w:ascii="Times New Roman" w:hAnsi="Times New Roman" w:cs="Times New Roman"/>
          <w:sz w:val="21"/>
          <w:szCs w:val="21"/>
        </w:rPr>
        <w:t>平面</w:t>
      </w:r>
      <w:r>
        <w:rPr>
          <w:rFonts w:hint="eastAsia" w:ascii="Times New Roman" w:hAnsi="Times New Roman" w:cs="Times New Roman"/>
          <w:sz w:val="21"/>
          <w:szCs w:val="21"/>
        </w:rPr>
        <w:t>布置图</w:t>
      </w:r>
    </w:p>
    <w:p>
      <w:pPr>
        <w:pStyle w:val="9"/>
        <w:numPr>
          <w:ilvl w:val="0"/>
          <w:numId w:val="1"/>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牛街污水厂平面布置图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w:t>
      </w:r>
      <w:r>
        <w:rPr>
          <w:rFonts w:hint="eastAsia" w:ascii="Times New Roman" w:hAnsi="Times New Roman" w:cs="Times New Roman"/>
          <w:sz w:val="21"/>
          <w:szCs w:val="21"/>
        </w:rPr>
        <w:t>邓川污水厂</w:t>
      </w:r>
      <w:r>
        <w:rPr>
          <w:rFonts w:ascii="Times New Roman" w:hAnsi="Times New Roman" w:cs="Times New Roman"/>
          <w:sz w:val="21"/>
          <w:szCs w:val="21"/>
        </w:rPr>
        <w:t>与周边环境关系图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w:t>
      </w:r>
      <w:r>
        <w:rPr>
          <w:rFonts w:hint="eastAsia" w:ascii="Times New Roman" w:hAnsi="Times New Roman" w:cs="Times New Roman"/>
          <w:sz w:val="21"/>
          <w:szCs w:val="21"/>
        </w:rPr>
        <w:t>右所污水厂</w:t>
      </w:r>
      <w:r>
        <w:rPr>
          <w:rFonts w:ascii="Times New Roman" w:hAnsi="Times New Roman" w:cs="Times New Roman"/>
          <w:sz w:val="21"/>
          <w:szCs w:val="21"/>
        </w:rPr>
        <w:t>与周边环境关系图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w:t>
      </w:r>
      <w:r>
        <w:rPr>
          <w:rFonts w:hint="eastAsia" w:ascii="Times New Roman" w:hAnsi="Times New Roman" w:cs="Times New Roman"/>
          <w:sz w:val="21"/>
          <w:szCs w:val="21"/>
        </w:rPr>
        <w:t>牛街污水厂</w:t>
      </w:r>
      <w:r>
        <w:rPr>
          <w:rFonts w:ascii="Times New Roman" w:hAnsi="Times New Roman" w:cs="Times New Roman"/>
          <w:sz w:val="21"/>
          <w:szCs w:val="21"/>
        </w:rPr>
        <w:t>与周边环境关系图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8、茈碧湖镇管网涉及村落分布图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9、右所镇管网涉及村落分布图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10、凤羽镇管网涉及村落分布图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11、牛街乡管网涉及村落分布图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12、三营镇管网涉及村落分布图</w:t>
      </w:r>
    </w:p>
    <w:p>
      <w:pPr>
        <w:pStyle w:val="9"/>
        <w:spacing w:line="288" w:lineRule="auto"/>
        <w:ind w:firstLine="316" w:firstLineChars="150"/>
        <w:rPr>
          <w:rFonts w:ascii="Times New Roman" w:hAnsi="Times New Roman" w:cs="Times New Roman"/>
          <w:b/>
          <w:bCs/>
          <w:sz w:val="21"/>
          <w:szCs w:val="21"/>
        </w:rPr>
      </w:pPr>
      <w:r>
        <w:rPr>
          <w:rFonts w:ascii="Times New Roman" w:hAnsi="Times New Roman" w:cs="Times New Roman"/>
          <w:b/>
          <w:bCs/>
          <w:sz w:val="21"/>
          <w:szCs w:val="21"/>
        </w:rPr>
        <w:t>附件：</w:t>
      </w:r>
    </w:p>
    <w:p>
      <w:pPr>
        <w:pStyle w:val="9"/>
        <w:numPr>
          <w:ilvl w:val="0"/>
          <w:numId w:val="2"/>
        </w:numPr>
        <w:spacing w:line="288" w:lineRule="auto"/>
        <w:ind w:firstLine="420"/>
        <w:rPr>
          <w:rFonts w:ascii="Times New Roman" w:hAnsi="Times New Roman" w:cs="Times New Roman"/>
          <w:sz w:val="21"/>
          <w:szCs w:val="21"/>
        </w:rPr>
      </w:pPr>
      <w:r>
        <w:rPr>
          <w:rFonts w:ascii="Times New Roman" w:hAnsi="Times New Roman" w:cs="Times New Roman"/>
          <w:sz w:val="21"/>
          <w:szCs w:val="21"/>
        </w:rPr>
        <w:t>委托书</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可研批复</w:t>
      </w:r>
    </w:p>
    <w:p>
      <w:pPr>
        <w:pStyle w:val="9"/>
        <w:numPr>
          <w:ilvl w:val="0"/>
          <w:numId w:val="2"/>
        </w:numPr>
        <w:spacing w:line="288" w:lineRule="auto"/>
        <w:ind w:firstLine="420"/>
        <w:rPr>
          <w:rFonts w:ascii="Times New Roman" w:hAnsi="Times New Roman" w:cs="Times New Roman"/>
          <w:sz w:val="21"/>
          <w:szCs w:val="21"/>
        </w:rPr>
      </w:pPr>
      <w:r>
        <w:rPr>
          <w:rFonts w:ascii="Times New Roman" w:hAnsi="Times New Roman" w:cs="Times New Roman"/>
          <w:sz w:val="21"/>
          <w:szCs w:val="21"/>
        </w:rPr>
        <w:t>执行标准确认函</w:t>
      </w:r>
      <w:r>
        <w:rPr>
          <w:rFonts w:hint="eastAsia" w:ascii="Times New Roman" w:hAnsi="Times New Roman" w:cs="Times New Roman"/>
          <w:sz w:val="21"/>
          <w:szCs w:val="21"/>
        </w:rPr>
        <w:t>及复函</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原有邓川、右所、牛街污水厂的环评及验收批复</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内部</w:t>
      </w:r>
      <w:r>
        <w:rPr>
          <w:rFonts w:ascii="Times New Roman" w:hAnsi="Times New Roman" w:cs="Times New Roman"/>
          <w:sz w:val="21"/>
          <w:szCs w:val="21"/>
        </w:rPr>
        <w:t>审核记录表</w:t>
      </w:r>
    </w:p>
    <w:p>
      <w:pPr>
        <w:pStyle w:val="9"/>
        <w:numPr>
          <w:ilvl w:val="0"/>
          <w:numId w:val="2"/>
        </w:numPr>
        <w:spacing w:line="288" w:lineRule="auto"/>
        <w:ind w:firstLine="420"/>
        <w:rPr>
          <w:rFonts w:ascii="Times New Roman" w:hAnsi="Times New Roman" w:cs="Times New Roman"/>
          <w:sz w:val="21"/>
          <w:szCs w:val="21"/>
        </w:rPr>
      </w:pPr>
      <w:r>
        <w:rPr>
          <w:rFonts w:ascii="Times New Roman" w:hAnsi="Times New Roman" w:cs="Times New Roman"/>
          <w:sz w:val="21"/>
          <w:szCs w:val="21"/>
        </w:rPr>
        <w:t>工作进度表</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专家评审意见表</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修改对照表</w:t>
      </w:r>
    </w:p>
    <w:p>
      <w:pPr>
        <w:rPr>
          <w:sz w:val="30"/>
          <w:szCs w:val="30"/>
        </w:rPr>
      </w:pPr>
    </w:p>
    <w:p>
      <w:pPr>
        <w:pStyle w:val="2"/>
        <w:sectPr>
          <w:headerReference r:id="rId11" w:type="default"/>
          <w:footerReference r:id="rId12" w:type="default"/>
          <w:pgSz w:w="11906" w:h="16838"/>
          <w:pgMar w:top="1361" w:right="1531" w:bottom="794" w:left="1531" w:header="851" w:footer="737" w:gutter="0"/>
          <w:cols w:space="720" w:num="1"/>
          <w:docGrid w:type="lines" w:linePitch="312" w:charSpace="0"/>
        </w:sectPr>
      </w:pPr>
    </w:p>
    <w:p>
      <w:pPr>
        <w:pStyle w:val="5"/>
        <w:spacing w:before="0" w:after="0" w:line="240" w:lineRule="auto"/>
        <w:ind w:firstLine="301" w:firstLineChars="100"/>
        <w:jc w:val="left"/>
        <w:rPr>
          <w:sz w:val="30"/>
          <w:szCs w:val="30"/>
        </w:rPr>
      </w:pPr>
      <w:r>
        <w:rPr>
          <w:sz w:val="30"/>
          <w:szCs w:val="30"/>
        </w:rPr>
        <w:t>一</w:t>
      </w:r>
      <w:r>
        <w:rPr>
          <w:rFonts w:hint="eastAsia"/>
          <w:sz w:val="30"/>
          <w:szCs w:val="30"/>
        </w:rPr>
        <w:t>、</w:t>
      </w:r>
      <w:r>
        <w:rPr>
          <w:sz w:val="30"/>
          <w:szCs w:val="30"/>
        </w:rPr>
        <w:t xml:space="preserve"> 建设项目基本情况</w:t>
      </w:r>
      <w:bookmarkEnd w:id="0"/>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168"/>
        <w:gridCol w:w="422"/>
        <w:gridCol w:w="867"/>
        <w:gridCol w:w="103"/>
        <w:gridCol w:w="259"/>
        <w:gridCol w:w="1133"/>
        <w:gridCol w:w="139"/>
        <w:gridCol w:w="688"/>
        <w:gridCol w:w="752"/>
        <w:gridCol w:w="753"/>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669" w:type="dxa"/>
            <w:vAlign w:val="center"/>
          </w:tcPr>
          <w:p>
            <w:pPr>
              <w:jc w:val="center"/>
              <w:rPr>
                <w:szCs w:val="24"/>
              </w:rPr>
            </w:pPr>
            <w:r>
              <w:rPr>
                <w:szCs w:val="24"/>
              </w:rPr>
              <w:t>项目名称</w:t>
            </w:r>
          </w:p>
        </w:tc>
        <w:tc>
          <w:tcPr>
            <w:tcW w:w="7151" w:type="dxa"/>
            <w:gridSpan w:val="11"/>
            <w:vAlign w:val="center"/>
          </w:tcPr>
          <w:p>
            <w:pPr>
              <w:rPr>
                <w:szCs w:val="24"/>
              </w:rPr>
            </w:pPr>
            <w:r>
              <w:rPr>
                <w:rFonts w:hint="eastAsia"/>
                <w:szCs w:val="24"/>
              </w:rPr>
              <w:t>大理州洱源县洱海流域污水处理厂提标改造及管网修复完善工程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669" w:type="dxa"/>
            <w:vAlign w:val="center"/>
          </w:tcPr>
          <w:p>
            <w:pPr>
              <w:spacing w:line="360" w:lineRule="auto"/>
              <w:jc w:val="center"/>
              <w:rPr>
                <w:szCs w:val="24"/>
              </w:rPr>
            </w:pPr>
            <w:r>
              <w:rPr>
                <w:szCs w:val="24"/>
              </w:rPr>
              <w:t>建设单位</w:t>
            </w:r>
          </w:p>
        </w:tc>
        <w:tc>
          <w:tcPr>
            <w:tcW w:w="7151" w:type="dxa"/>
            <w:gridSpan w:val="11"/>
            <w:vAlign w:val="center"/>
          </w:tcPr>
          <w:p>
            <w:pPr>
              <w:spacing w:line="360" w:lineRule="auto"/>
              <w:jc w:val="center"/>
              <w:rPr>
                <w:szCs w:val="24"/>
              </w:rPr>
            </w:pPr>
            <w:r>
              <w:rPr>
                <w:rFonts w:hint="eastAsia"/>
                <w:szCs w:val="24"/>
              </w:rPr>
              <w:t>洱源县洱海流域管理局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vAlign w:val="center"/>
          </w:tcPr>
          <w:p>
            <w:pPr>
              <w:spacing w:line="360" w:lineRule="auto"/>
              <w:jc w:val="center"/>
              <w:rPr>
                <w:szCs w:val="24"/>
              </w:rPr>
            </w:pPr>
            <w:r>
              <w:rPr>
                <w:szCs w:val="24"/>
              </w:rPr>
              <w:t>法人代表</w:t>
            </w:r>
          </w:p>
        </w:tc>
        <w:tc>
          <w:tcPr>
            <w:tcW w:w="2560" w:type="dxa"/>
            <w:gridSpan w:val="4"/>
            <w:vAlign w:val="center"/>
          </w:tcPr>
          <w:p>
            <w:pPr>
              <w:spacing w:line="360" w:lineRule="auto"/>
              <w:jc w:val="center"/>
              <w:rPr>
                <w:szCs w:val="24"/>
              </w:rPr>
            </w:pPr>
            <w:r>
              <w:rPr>
                <w:rFonts w:hint="eastAsia"/>
                <w:szCs w:val="24"/>
              </w:rPr>
              <w:t>杜金</w:t>
            </w:r>
          </w:p>
        </w:tc>
        <w:tc>
          <w:tcPr>
            <w:tcW w:w="1392" w:type="dxa"/>
            <w:gridSpan w:val="2"/>
            <w:vAlign w:val="center"/>
          </w:tcPr>
          <w:p>
            <w:pPr>
              <w:spacing w:line="360" w:lineRule="auto"/>
              <w:jc w:val="center"/>
              <w:rPr>
                <w:szCs w:val="24"/>
              </w:rPr>
            </w:pPr>
            <w:r>
              <w:rPr>
                <w:szCs w:val="24"/>
              </w:rPr>
              <w:t>联系人</w:t>
            </w:r>
          </w:p>
        </w:tc>
        <w:tc>
          <w:tcPr>
            <w:tcW w:w="3199" w:type="dxa"/>
            <w:gridSpan w:val="5"/>
            <w:vAlign w:val="center"/>
          </w:tcPr>
          <w:p>
            <w:pPr>
              <w:spacing w:line="360" w:lineRule="auto"/>
              <w:rPr>
                <w:szCs w:val="24"/>
              </w:rPr>
            </w:pPr>
            <w:r>
              <w:rPr>
                <w:rFonts w:hint="eastAsia"/>
                <w:szCs w:val="24"/>
              </w:rPr>
              <w:t xml:space="preserve">      何桥越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669" w:type="dxa"/>
            <w:vAlign w:val="center"/>
          </w:tcPr>
          <w:p>
            <w:pPr>
              <w:spacing w:line="360" w:lineRule="auto"/>
              <w:jc w:val="center"/>
              <w:rPr>
                <w:szCs w:val="24"/>
              </w:rPr>
            </w:pPr>
            <w:r>
              <w:rPr>
                <w:szCs w:val="24"/>
              </w:rPr>
              <w:t>通讯地址</w:t>
            </w:r>
          </w:p>
        </w:tc>
        <w:tc>
          <w:tcPr>
            <w:tcW w:w="7151" w:type="dxa"/>
            <w:gridSpan w:val="11"/>
            <w:vAlign w:val="center"/>
          </w:tcPr>
          <w:p>
            <w:pPr>
              <w:spacing w:line="360" w:lineRule="auto"/>
              <w:jc w:val="center"/>
              <w:rPr>
                <w:szCs w:val="24"/>
              </w:rPr>
            </w:pPr>
            <w:r>
              <w:rPr>
                <w:rFonts w:hint="eastAsia"/>
                <w:szCs w:val="24"/>
              </w:rPr>
              <w:t>云南省大理白族自治州洱源县茈碧湖镇腾飞路27号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69" w:type="dxa"/>
            <w:vAlign w:val="center"/>
          </w:tcPr>
          <w:p>
            <w:pPr>
              <w:spacing w:line="360" w:lineRule="auto"/>
              <w:jc w:val="center"/>
              <w:rPr>
                <w:szCs w:val="24"/>
              </w:rPr>
            </w:pPr>
            <w:r>
              <w:rPr>
                <w:szCs w:val="24"/>
              </w:rPr>
              <w:t>联系电话</w:t>
            </w:r>
          </w:p>
        </w:tc>
        <w:tc>
          <w:tcPr>
            <w:tcW w:w="1590" w:type="dxa"/>
            <w:gridSpan w:val="2"/>
            <w:vAlign w:val="center"/>
          </w:tcPr>
          <w:p>
            <w:pPr>
              <w:spacing w:line="360" w:lineRule="auto"/>
              <w:jc w:val="center"/>
              <w:rPr>
                <w:szCs w:val="24"/>
              </w:rPr>
            </w:pPr>
            <w:r>
              <w:rPr>
                <w:rFonts w:hint="eastAsia"/>
                <w:szCs w:val="24"/>
              </w:rPr>
              <w:t>13013398338</w:t>
            </w:r>
          </w:p>
        </w:tc>
        <w:tc>
          <w:tcPr>
            <w:tcW w:w="867" w:type="dxa"/>
            <w:vAlign w:val="center"/>
          </w:tcPr>
          <w:p>
            <w:pPr>
              <w:spacing w:line="360" w:lineRule="auto"/>
              <w:jc w:val="center"/>
              <w:rPr>
                <w:szCs w:val="24"/>
              </w:rPr>
            </w:pPr>
            <w:r>
              <w:rPr>
                <w:szCs w:val="24"/>
              </w:rPr>
              <w:t>传真</w:t>
            </w:r>
          </w:p>
        </w:tc>
        <w:tc>
          <w:tcPr>
            <w:tcW w:w="1634" w:type="dxa"/>
            <w:gridSpan w:val="4"/>
            <w:vAlign w:val="center"/>
          </w:tcPr>
          <w:p>
            <w:pPr>
              <w:spacing w:line="360" w:lineRule="auto"/>
              <w:jc w:val="center"/>
              <w:rPr>
                <w:szCs w:val="24"/>
              </w:rPr>
            </w:pPr>
            <w:r>
              <w:rPr>
                <w:rFonts w:hint="eastAsia"/>
                <w:szCs w:val="24"/>
              </w:rPr>
              <w:t>0872-5126799</w:t>
            </w:r>
          </w:p>
        </w:tc>
        <w:tc>
          <w:tcPr>
            <w:tcW w:w="1440" w:type="dxa"/>
            <w:gridSpan w:val="2"/>
            <w:vAlign w:val="center"/>
          </w:tcPr>
          <w:p>
            <w:pPr>
              <w:spacing w:line="360" w:lineRule="auto"/>
              <w:jc w:val="center"/>
              <w:rPr>
                <w:szCs w:val="24"/>
              </w:rPr>
            </w:pPr>
            <w:r>
              <w:rPr>
                <w:szCs w:val="24"/>
              </w:rPr>
              <w:t>邮编</w:t>
            </w:r>
          </w:p>
        </w:tc>
        <w:tc>
          <w:tcPr>
            <w:tcW w:w="1620" w:type="dxa"/>
            <w:gridSpan w:val="2"/>
            <w:vAlign w:val="center"/>
          </w:tcPr>
          <w:p>
            <w:pPr>
              <w:spacing w:line="360" w:lineRule="auto"/>
              <w:jc w:val="center"/>
              <w:rPr>
                <w:szCs w:val="24"/>
              </w:rPr>
            </w:pPr>
            <w:r>
              <w:rPr>
                <w:rFonts w:hint="eastAsia"/>
                <w:szCs w:val="24"/>
              </w:rPr>
              <w:t>671200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69" w:type="dxa"/>
            <w:vAlign w:val="center"/>
          </w:tcPr>
          <w:p>
            <w:pPr>
              <w:jc w:val="center"/>
              <w:rPr>
                <w:szCs w:val="24"/>
              </w:rPr>
            </w:pPr>
            <w:r>
              <w:rPr>
                <w:szCs w:val="24"/>
              </w:rPr>
              <w:t>建设地点</w:t>
            </w:r>
          </w:p>
        </w:tc>
        <w:tc>
          <w:tcPr>
            <w:tcW w:w="7151" w:type="dxa"/>
            <w:gridSpan w:val="11"/>
            <w:vAlign w:val="center"/>
          </w:tcPr>
          <w:p>
            <w:pPr>
              <w:jc w:val="center"/>
              <w:rPr>
                <w:szCs w:val="24"/>
              </w:rPr>
            </w:pPr>
            <w:r>
              <w:rPr>
                <w:rFonts w:hint="eastAsia"/>
                <w:szCs w:val="24"/>
              </w:rPr>
              <w:t>大理州洱源县邓川镇、右所镇、牛街乡、茈碧湖镇、凤羽镇、三营镇6个乡镇行政区范围内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9" w:type="dxa"/>
            <w:vAlign w:val="center"/>
          </w:tcPr>
          <w:p>
            <w:pPr>
              <w:spacing w:line="360" w:lineRule="auto"/>
              <w:jc w:val="center"/>
              <w:rPr>
                <w:szCs w:val="24"/>
              </w:rPr>
            </w:pPr>
            <w:r>
              <w:rPr>
                <w:szCs w:val="24"/>
              </w:rPr>
              <w:t>立项审批部门</w:t>
            </w:r>
          </w:p>
        </w:tc>
        <w:tc>
          <w:tcPr>
            <w:tcW w:w="2819" w:type="dxa"/>
            <w:gridSpan w:val="5"/>
            <w:vAlign w:val="center"/>
          </w:tcPr>
          <w:p>
            <w:pPr>
              <w:spacing w:line="360" w:lineRule="auto"/>
              <w:jc w:val="center"/>
              <w:rPr>
                <w:szCs w:val="24"/>
              </w:rPr>
            </w:pPr>
            <w:r>
              <w:rPr>
                <w:rFonts w:hint="eastAsia"/>
                <w:szCs w:val="24"/>
              </w:rPr>
              <w:t>洱源县发展和改革局</w:t>
            </w:r>
          </w:p>
        </w:tc>
        <w:tc>
          <w:tcPr>
            <w:tcW w:w="1960" w:type="dxa"/>
            <w:gridSpan w:val="3"/>
            <w:vAlign w:val="center"/>
          </w:tcPr>
          <w:p>
            <w:pPr>
              <w:spacing w:line="360" w:lineRule="auto"/>
              <w:jc w:val="center"/>
              <w:rPr>
                <w:szCs w:val="24"/>
              </w:rPr>
            </w:pPr>
            <w:r>
              <w:rPr>
                <w:szCs w:val="24"/>
              </w:rPr>
              <w:t>备案编号</w:t>
            </w:r>
          </w:p>
        </w:tc>
        <w:tc>
          <w:tcPr>
            <w:tcW w:w="2372" w:type="dxa"/>
            <w:gridSpan w:val="3"/>
            <w:vAlign w:val="center"/>
          </w:tcPr>
          <w:p>
            <w:pPr>
              <w:jc w:val="center"/>
              <w:rPr>
                <w:szCs w:val="24"/>
              </w:rPr>
            </w:pPr>
            <w:r>
              <w:rPr>
                <w:rFonts w:hint="eastAsia"/>
                <w:szCs w:val="24"/>
              </w:rPr>
              <w:t>洱发改复﹝2019﹞13号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669" w:type="dxa"/>
            <w:vAlign w:val="center"/>
          </w:tcPr>
          <w:p>
            <w:pPr>
              <w:jc w:val="center"/>
              <w:rPr>
                <w:szCs w:val="24"/>
              </w:rPr>
            </w:pPr>
            <w:r>
              <w:rPr>
                <w:szCs w:val="24"/>
              </w:rPr>
              <w:t>建设性质</w:t>
            </w:r>
          </w:p>
        </w:tc>
        <w:tc>
          <w:tcPr>
            <w:tcW w:w="2819" w:type="dxa"/>
            <w:gridSpan w:val="5"/>
            <w:vAlign w:val="center"/>
          </w:tcPr>
          <w:p>
            <w:pPr>
              <w:jc w:val="center"/>
              <w:rPr>
                <w:szCs w:val="24"/>
              </w:rPr>
            </w:pPr>
            <w:r>
              <w:rPr>
                <w:szCs w:val="24"/>
              </w:rPr>
              <w:t xml:space="preserve">新建□扩建□ 技术改造√ </w:t>
            </w:r>
          </w:p>
        </w:tc>
        <w:tc>
          <w:tcPr>
            <w:tcW w:w="1960" w:type="dxa"/>
            <w:gridSpan w:val="3"/>
            <w:vAlign w:val="center"/>
          </w:tcPr>
          <w:p>
            <w:pPr>
              <w:jc w:val="center"/>
              <w:rPr>
                <w:szCs w:val="24"/>
              </w:rPr>
            </w:pPr>
            <w:r>
              <w:rPr>
                <w:szCs w:val="24"/>
              </w:rPr>
              <w:t>行业类别及代码</w:t>
            </w:r>
          </w:p>
        </w:tc>
        <w:tc>
          <w:tcPr>
            <w:tcW w:w="2372" w:type="dxa"/>
            <w:gridSpan w:val="3"/>
            <w:vAlign w:val="center"/>
          </w:tcPr>
          <w:p>
            <w:pPr>
              <w:pStyle w:val="23"/>
              <w:jc w:val="center"/>
              <w:rPr>
                <w:sz w:val="24"/>
                <w:szCs w:val="24"/>
              </w:rPr>
            </w:pPr>
            <w:r>
              <w:rPr>
                <w:rFonts w:hint="eastAsia"/>
                <w:sz w:val="24"/>
                <w:szCs w:val="24"/>
              </w:rPr>
              <w:t>污水处理及其再生利用（D4620）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69" w:type="dxa"/>
            <w:vAlign w:val="center"/>
          </w:tcPr>
          <w:p>
            <w:pPr>
              <w:jc w:val="center"/>
              <w:rPr>
                <w:szCs w:val="24"/>
              </w:rPr>
            </w:pPr>
            <w:r>
              <w:rPr>
                <w:szCs w:val="24"/>
              </w:rPr>
              <w:t>占地面积</w:t>
            </w:r>
          </w:p>
          <w:p>
            <w:pPr>
              <w:jc w:val="center"/>
              <w:rPr>
                <w:szCs w:val="24"/>
              </w:rPr>
            </w:pPr>
            <w:r>
              <w:rPr>
                <w:szCs w:val="24"/>
              </w:rPr>
              <w:t>（平方米）</w:t>
            </w:r>
          </w:p>
        </w:tc>
        <w:tc>
          <w:tcPr>
            <w:tcW w:w="2819" w:type="dxa"/>
            <w:gridSpan w:val="5"/>
            <w:vAlign w:val="center"/>
          </w:tcPr>
          <w:p>
            <w:pPr>
              <w:jc w:val="center"/>
              <w:rPr>
                <w:szCs w:val="24"/>
              </w:rPr>
            </w:pPr>
            <w:r>
              <w:rPr>
                <w:rFonts w:hint="eastAsia"/>
                <w:szCs w:val="24"/>
              </w:rPr>
              <w:t>/</w:t>
            </w:r>
            <w:r>
              <w:rPr>
                <w:szCs w:val="24"/>
              </w:rPr>
              <w:t xml:space="preserve">                          </w:t>
            </w:r>
          </w:p>
        </w:tc>
        <w:tc>
          <w:tcPr>
            <w:tcW w:w="1960" w:type="dxa"/>
            <w:gridSpan w:val="3"/>
            <w:vAlign w:val="center"/>
          </w:tcPr>
          <w:p>
            <w:pPr>
              <w:jc w:val="center"/>
              <w:rPr>
                <w:szCs w:val="24"/>
              </w:rPr>
            </w:pPr>
            <w:r>
              <w:rPr>
                <w:szCs w:val="24"/>
              </w:rPr>
              <w:t>绿化面积</w:t>
            </w:r>
          </w:p>
          <w:p>
            <w:pPr>
              <w:jc w:val="center"/>
              <w:rPr>
                <w:szCs w:val="24"/>
              </w:rPr>
            </w:pPr>
            <w:r>
              <w:rPr>
                <w:szCs w:val="24"/>
              </w:rPr>
              <w:t>（平方米）</w:t>
            </w:r>
          </w:p>
        </w:tc>
        <w:tc>
          <w:tcPr>
            <w:tcW w:w="2372" w:type="dxa"/>
            <w:gridSpan w:val="3"/>
            <w:vAlign w:val="center"/>
          </w:tcPr>
          <w:p>
            <w:pPr>
              <w:jc w:val="center"/>
              <w:rPr>
                <w:szCs w:val="24"/>
              </w:rPr>
            </w:pPr>
            <w:r>
              <w:rPr>
                <w:rFonts w:hint="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69" w:type="dxa"/>
            <w:vAlign w:val="center"/>
          </w:tcPr>
          <w:p>
            <w:pPr>
              <w:jc w:val="center"/>
              <w:rPr>
                <w:szCs w:val="24"/>
              </w:rPr>
            </w:pPr>
            <w:r>
              <w:rPr>
                <w:szCs w:val="24"/>
              </w:rPr>
              <w:t>总投资</w:t>
            </w:r>
          </w:p>
          <w:p>
            <w:pPr>
              <w:jc w:val="center"/>
              <w:rPr>
                <w:szCs w:val="24"/>
              </w:rPr>
            </w:pPr>
            <w:r>
              <w:rPr>
                <w:szCs w:val="24"/>
              </w:rPr>
              <w:t>（万元）</w:t>
            </w:r>
          </w:p>
        </w:tc>
        <w:tc>
          <w:tcPr>
            <w:tcW w:w="1168" w:type="dxa"/>
            <w:vAlign w:val="center"/>
          </w:tcPr>
          <w:p>
            <w:pPr>
              <w:jc w:val="center"/>
              <w:rPr>
                <w:szCs w:val="24"/>
              </w:rPr>
            </w:pPr>
            <w:r>
              <w:rPr>
                <w:rFonts w:hint="eastAsia"/>
                <w:szCs w:val="24"/>
              </w:rPr>
              <w:t>15000</w:t>
            </w:r>
          </w:p>
        </w:tc>
        <w:tc>
          <w:tcPr>
            <w:tcW w:w="1651" w:type="dxa"/>
            <w:gridSpan w:val="4"/>
            <w:vAlign w:val="center"/>
          </w:tcPr>
          <w:p>
            <w:pPr>
              <w:jc w:val="center"/>
              <w:rPr>
                <w:szCs w:val="24"/>
              </w:rPr>
            </w:pPr>
            <w:r>
              <w:rPr>
                <w:szCs w:val="24"/>
              </w:rPr>
              <w:t>其中</w:t>
            </w:r>
            <w:r>
              <w:rPr>
                <w:rFonts w:hint="eastAsia"/>
                <w:szCs w:val="24"/>
              </w:rPr>
              <w:t>：</w:t>
            </w:r>
            <w:r>
              <w:rPr>
                <w:szCs w:val="24"/>
              </w:rPr>
              <w:t>环保</w:t>
            </w:r>
            <w:r>
              <w:rPr>
                <w:rFonts w:hint="eastAsia"/>
                <w:szCs w:val="24"/>
              </w:rPr>
              <w:t>投</w:t>
            </w:r>
            <w:r>
              <w:rPr>
                <w:szCs w:val="24"/>
              </w:rPr>
              <w:t>资（万元）</w:t>
            </w:r>
          </w:p>
        </w:tc>
        <w:tc>
          <w:tcPr>
            <w:tcW w:w="1960" w:type="dxa"/>
            <w:gridSpan w:val="3"/>
            <w:vAlign w:val="center"/>
          </w:tcPr>
          <w:p>
            <w:pPr>
              <w:jc w:val="center"/>
              <w:rPr>
                <w:szCs w:val="24"/>
              </w:rPr>
            </w:pPr>
            <w:r>
              <w:rPr>
                <w:rFonts w:hint="eastAsia"/>
                <w:szCs w:val="24"/>
              </w:rPr>
              <w:t>242</w:t>
            </w:r>
          </w:p>
        </w:tc>
        <w:tc>
          <w:tcPr>
            <w:tcW w:w="1505" w:type="dxa"/>
            <w:gridSpan w:val="2"/>
            <w:vAlign w:val="center"/>
          </w:tcPr>
          <w:p>
            <w:pPr>
              <w:jc w:val="center"/>
              <w:rPr>
                <w:szCs w:val="24"/>
              </w:rPr>
            </w:pPr>
            <w:r>
              <w:rPr>
                <w:szCs w:val="24"/>
              </w:rPr>
              <w:t>环保投资占总投资</w:t>
            </w:r>
            <w:r>
              <w:rPr>
                <w:rFonts w:hint="eastAsia"/>
                <w:szCs w:val="24"/>
              </w:rPr>
              <w:t>（</w:t>
            </w:r>
            <w:r>
              <w:rPr>
                <w:szCs w:val="24"/>
              </w:rPr>
              <w:t>%</w:t>
            </w:r>
            <w:r>
              <w:rPr>
                <w:rFonts w:hint="eastAsia"/>
                <w:szCs w:val="24"/>
              </w:rPr>
              <w:t>）</w:t>
            </w:r>
          </w:p>
        </w:tc>
        <w:tc>
          <w:tcPr>
            <w:tcW w:w="867" w:type="dxa"/>
            <w:vAlign w:val="center"/>
          </w:tcPr>
          <w:p>
            <w:pPr>
              <w:jc w:val="center"/>
              <w:rPr>
                <w:szCs w:val="24"/>
              </w:rPr>
            </w:pPr>
            <w:r>
              <w:rPr>
                <w:rFonts w:hint="eastAsia"/>
                <w:szCs w:val="24"/>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69" w:type="dxa"/>
            <w:vAlign w:val="center"/>
          </w:tcPr>
          <w:p>
            <w:pPr>
              <w:jc w:val="center"/>
              <w:rPr>
                <w:szCs w:val="24"/>
              </w:rPr>
            </w:pPr>
            <w:r>
              <w:rPr>
                <w:szCs w:val="24"/>
              </w:rPr>
              <w:t>评价经费</w:t>
            </w:r>
          </w:p>
          <w:p>
            <w:pPr>
              <w:jc w:val="center"/>
              <w:rPr>
                <w:szCs w:val="24"/>
              </w:rPr>
            </w:pPr>
            <w:r>
              <w:rPr>
                <w:szCs w:val="24"/>
              </w:rPr>
              <w:t>（万元）</w:t>
            </w:r>
          </w:p>
        </w:tc>
        <w:tc>
          <w:tcPr>
            <w:tcW w:w="2819" w:type="dxa"/>
            <w:gridSpan w:val="5"/>
            <w:vAlign w:val="center"/>
          </w:tcPr>
          <w:p>
            <w:pPr>
              <w:jc w:val="center"/>
              <w:rPr>
                <w:szCs w:val="24"/>
              </w:rPr>
            </w:pPr>
            <w:r>
              <w:rPr>
                <w:szCs w:val="24"/>
              </w:rPr>
              <w:t>/</w:t>
            </w:r>
          </w:p>
        </w:tc>
        <w:tc>
          <w:tcPr>
            <w:tcW w:w="1960" w:type="dxa"/>
            <w:gridSpan w:val="3"/>
            <w:vAlign w:val="center"/>
          </w:tcPr>
          <w:p>
            <w:pPr>
              <w:jc w:val="center"/>
              <w:rPr>
                <w:szCs w:val="24"/>
              </w:rPr>
            </w:pPr>
            <w:r>
              <w:rPr>
                <w:rFonts w:hint="eastAsia"/>
                <w:szCs w:val="24"/>
              </w:rPr>
              <w:t>预计</w:t>
            </w:r>
            <w:r>
              <w:rPr>
                <w:szCs w:val="24"/>
              </w:rPr>
              <w:t>投产日期</w:t>
            </w:r>
          </w:p>
        </w:tc>
        <w:tc>
          <w:tcPr>
            <w:tcW w:w="2372" w:type="dxa"/>
            <w:gridSpan w:val="3"/>
            <w:vAlign w:val="center"/>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0" w:type="dxa"/>
            <w:gridSpan w:val="12"/>
            <w:vAlign w:val="center"/>
          </w:tcPr>
          <w:p>
            <w:pPr>
              <w:adjustRightInd w:val="0"/>
              <w:snapToGrid w:val="0"/>
              <w:spacing w:beforeLines="50" w:line="360" w:lineRule="auto"/>
              <w:ind w:firstLine="482" w:firstLineChars="200"/>
              <w:rPr>
                <w:b/>
                <w:szCs w:val="24"/>
              </w:rPr>
            </w:pPr>
            <w:r>
              <w:rPr>
                <w:rFonts w:hint="eastAsia"/>
                <w:b/>
                <w:szCs w:val="24"/>
              </w:rPr>
              <w:t>（一）</w:t>
            </w:r>
            <w:r>
              <w:rPr>
                <w:b/>
                <w:szCs w:val="24"/>
              </w:rPr>
              <w:t>项目由来</w:t>
            </w:r>
          </w:p>
          <w:p>
            <w:pPr>
              <w:adjustRightInd w:val="0"/>
              <w:snapToGrid w:val="0"/>
              <w:spacing w:line="360" w:lineRule="auto"/>
              <w:ind w:firstLine="480" w:firstLineChars="200"/>
              <w:rPr>
                <w:color w:val="FF0000"/>
                <w:szCs w:val="24"/>
              </w:rPr>
            </w:pPr>
            <w:r>
              <w:rPr>
                <w:rFonts w:hint="eastAsia" w:ascii="宋体" w:hAnsi="宋体" w:cs="宋体"/>
                <w:color w:val="FF0000"/>
              </w:rPr>
              <w:t>洱海是我国重要的淡水湖泊、云南省第二大高原湖泊，同时是苍山洱海国家级自然保护区的核心。</w:t>
            </w:r>
            <w:r>
              <w:rPr>
                <w:rFonts w:hint="eastAsia" w:ascii="宋体" w:hAnsi="宋体" w:cs="宋体"/>
                <w:color w:val="FF0000"/>
                <w:szCs w:val="24"/>
              </w:rPr>
              <w:t>洱源县地处洱海源头，其境内的弥苴河、罗时江、永安江3条主要河流以及茈碧湖、海西海和西湖3座重要湖泊最终均汇入洱海，为洱海提供约60%的补给水源。</w:t>
            </w:r>
            <w:r>
              <w:rPr>
                <w:rFonts w:hint="eastAsia" w:ascii="宋体" w:hAnsi="宋体" w:cs="宋体"/>
                <w:color w:val="FF0000"/>
              </w:rPr>
              <w:t>为了减缓“三河三湖”沿线重点村落的面源污染对洱海水质及生态环境的破坏，有效控制城镇水污染排放，</w:t>
            </w:r>
            <w:r>
              <w:rPr>
                <w:rFonts w:hint="eastAsia"/>
                <w:color w:val="FF0000"/>
                <w:szCs w:val="24"/>
              </w:rPr>
              <w:t>洱源县洱海流域局</w:t>
            </w:r>
            <w:r>
              <w:rPr>
                <w:rFonts w:hint="eastAsia" w:ascii="宋体" w:hAnsi="宋体" w:cs="宋体"/>
                <w:color w:val="FF0000"/>
              </w:rPr>
              <w:t>对洱海流域范围内（洱源县）9座镇级污水处理厂及配套的截污干管进行摸底排查，发现邓川、右所、牛街污水处理厂（老系列）</w:t>
            </w:r>
            <w:r>
              <w:rPr>
                <w:rFonts w:hint="eastAsia"/>
                <w:color w:val="FF0000"/>
                <w:szCs w:val="24"/>
              </w:rPr>
              <w:t>由于处理工艺和设备使用年限已长，运行效果不稳定，</w:t>
            </w:r>
            <w:r>
              <w:rPr>
                <w:rFonts w:hint="eastAsia" w:ascii="宋体" w:hAnsi="宋体" w:cs="宋体"/>
                <w:color w:val="FF0000"/>
              </w:rPr>
              <w:t>出水水质不能持续稳定达到一级A标准的要求，其中：</w:t>
            </w:r>
            <w:r>
              <w:rPr>
                <w:rFonts w:hint="eastAsia"/>
                <w:color w:val="FF0000"/>
                <w:szCs w:val="24"/>
              </w:rPr>
              <w:t>邓川镇污水处理厂厂区内表流湿地内积泥严重、植被稀少，原有格栅机和带式污泥脱水机损坏严重；右所污水处理厂厂区内原有储泥池墙体已倾斜，表面部分混凝土已脱落，原有格栅等水处理设备损坏严重；牛街污水处理厂老厂格栅及接触氧化池等构筑物及设备均已老化，污水处理效果差。</w:t>
            </w:r>
            <w:r>
              <w:rPr>
                <w:rFonts w:hint="eastAsia" w:ascii="宋体" w:hAnsi="宋体" w:cs="宋体"/>
                <w:color w:val="FF0000"/>
              </w:rPr>
              <w:t>同时，</w:t>
            </w:r>
            <w:r>
              <w:rPr>
                <w:rFonts w:hint="eastAsia"/>
                <w:color w:val="FF0000"/>
                <w:szCs w:val="24"/>
              </w:rPr>
              <w:t>村落内部分区域管网破损、塌陷、堵塞严重，雨季冒水情况突出，影响了区域污水收集效率。</w:t>
            </w:r>
          </w:p>
          <w:p>
            <w:pPr>
              <w:adjustRightInd w:val="0"/>
              <w:snapToGrid w:val="0"/>
              <w:spacing w:line="360" w:lineRule="auto"/>
              <w:ind w:firstLine="480"/>
              <w:rPr>
                <w:color w:val="FF0000"/>
                <w:szCs w:val="24"/>
              </w:rPr>
            </w:pPr>
            <w:r>
              <w:rPr>
                <w:rFonts w:hint="eastAsia"/>
                <w:color w:val="FF0000"/>
                <w:szCs w:val="24"/>
              </w:rPr>
              <w:t>因此，洱源县洱海流域局实施了“</w:t>
            </w:r>
            <w:r>
              <w:rPr>
                <w:rFonts w:hint="eastAsia"/>
                <w:szCs w:val="24"/>
              </w:rPr>
              <w:t>大理州洱源县洱海流域污水处理厂提标改造及管网修复完善工程</w:t>
            </w:r>
            <w:r>
              <w:rPr>
                <w:rFonts w:hint="eastAsia"/>
                <w:color w:val="FF0000"/>
                <w:szCs w:val="24"/>
              </w:rPr>
              <w:t>”，通过对</w:t>
            </w:r>
            <w:r>
              <w:rPr>
                <w:rFonts w:hint="eastAsia" w:ascii="宋体" w:hAnsi="宋体" w:cs="宋体"/>
                <w:color w:val="FF0000"/>
              </w:rPr>
              <w:t>邓川、右所</w:t>
            </w:r>
            <w:r>
              <w:rPr>
                <w:color w:val="FF0000"/>
                <w:szCs w:val="24"/>
              </w:rPr>
              <w:t>污水处理厂提标改造</w:t>
            </w:r>
            <w:r>
              <w:rPr>
                <w:rFonts w:hint="eastAsia"/>
                <w:color w:val="FF0000"/>
                <w:szCs w:val="24"/>
              </w:rPr>
              <w:t>和新建</w:t>
            </w:r>
            <w:r>
              <w:rPr>
                <w:color w:val="FF0000"/>
                <w:szCs w:val="24"/>
              </w:rPr>
              <w:t>牛街污水处理厂</w:t>
            </w:r>
            <w:r>
              <w:rPr>
                <w:rFonts w:hint="eastAsia"/>
                <w:color w:val="FF0000"/>
                <w:szCs w:val="24"/>
              </w:rPr>
              <w:t>二期，确保</w:t>
            </w:r>
            <w:r>
              <w:rPr>
                <w:rFonts w:hint="eastAsia" w:ascii="宋体" w:hAnsi="宋体" w:cs="宋体"/>
                <w:color w:val="FF0000"/>
              </w:rPr>
              <w:t>邓川、右所、牛街污水处理厂出水水质能够满足地表水Ⅳ类水质（TN除外）标准的要求；</w:t>
            </w:r>
            <w:r>
              <w:rPr>
                <w:rFonts w:hint="eastAsia"/>
                <w:color w:val="FF0000"/>
                <w:szCs w:val="24"/>
              </w:rPr>
              <w:t>通过对</w:t>
            </w:r>
            <w:r>
              <w:rPr>
                <w:color w:val="FF0000"/>
                <w:szCs w:val="24"/>
              </w:rPr>
              <w:t>茈碧湖镇、右所镇、凤羽镇、牛街乡、三营镇</w:t>
            </w:r>
            <w:r>
              <w:rPr>
                <w:rFonts w:hint="eastAsia"/>
                <w:color w:val="FF0000"/>
                <w:szCs w:val="24"/>
              </w:rPr>
              <w:t>5</w:t>
            </w:r>
            <w:r>
              <w:rPr>
                <w:color w:val="FF0000"/>
                <w:szCs w:val="24"/>
              </w:rPr>
              <w:t>个乡镇</w:t>
            </w:r>
            <w:r>
              <w:rPr>
                <w:rFonts w:hint="eastAsia"/>
                <w:color w:val="FF0000"/>
                <w:szCs w:val="24"/>
              </w:rPr>
              <w:t>4</w:t>
            </w:r>
            <w:r>
              <w:rPr>
                <w:color w:val="FF0000"/>
                <w:szCs w:val="24"/>
              </w:rPr>
              <w:t>1个自然村的管网修复</w:t>
            </w:r>
            <w:r>
              <w:rPr>
                <w:rFonts w:hint="eastAsia"/>
                <w:color w:val="FF0000"/>
                <w:szCs w:val="24"/>
              </w:rPr>
              <w:t>改造，实现</w:t>
            </w:r>
            <w:r>
              <w:rPr>
                <w:rFonts w:hint="eastAsia" w:ascii="宋体" w:hAnsi="宋体" w:cs="宋体"/>
                <w:color w:val="FF0000"/>
              </w:rPr>
              <w:t>洱海流域范围内（洱源县）各村落的污水全面收集，从源头上</w:t>
            </w:r>
            <w:r>
              <w:rPr>
                <w:rFonts w:hint="eastAsia"/>
                <w:color w:val="FF0000"/>
                <w:szCs w:val="24"/>
              </w:rPr>
              <w:t>起到减少入湖污染的负荷，</w:t>
            </w:r>
            <w:r>
              <w:rPr>
                <w:rFonts w:hint="eastAsia" w:ascii="宋体" w:hAnsi="宋体" w:cs="宋体"/>
                <w:color w:val="FF0000"/>
                <w:szCs w:val="24"/>
              </w:rPr>
              <w:t>为支撑洱海水质总体达到Ⅱ类，最终将洱海北部流域打造成我国流域生态文明示范区提供基础。</w:t>
            </w:r>
          </w:p>
          <w:p>
            <w:pPr>
              <w:tabs>
                <w:tab w:val="left" w:pos="3100"/>
              </w:tabs>
              <w:adjustRightInd w:val="0"/>
              <w:snapToGrid w:val="0"/>
              <w:spacing w:line="360" w:lineRule="auto"/>
              <w:ind w:firstLine="480" w:firstLineChars="200"/>
            </w:pPr>
            <w:r>
              <w:rPr>
                <w:rFonts w:hint="eastAsia"/>
                <w:color w:val="FF0000"/>
              </w:rPr>
              <w:t>2019年9月12日，</w:t>
            </w:r>
            <w:r>
              <w:rPr>
                <w:rFonts w:hint="eastAsia"/>
                <w:color w:val="FF0000"/>
                <w:szCs w:val="24"/>
              </w:rPr>
              <w:t>洱源县洱海流域局取得了洱源县发展和改革局关于“大理州洱源县洱海流域污水处理厂提标改造及管网修复完善工程”可行性研究报告的批复（洱发改复﹝2019﹞13号）。</w:t>
            </w:r>
          </w:p>
          <w:p>
            <w:pPr>
              <w:tabs>
                <w:tab w:val="left" w:pos="3100"/>
              </w:tabs>
              <w:adjustRightInd w:val="0"/>
              <w:snapToGrid w:val="0"/>
              <w:spacing w:line="360" w:lineRule="auto"/>
              <w:ind w:firstLine="480" w:firstLineChars="200"/>
            </w:pPr>
            <w:r>
              <w:rPr>
                <w:rFonts w:hint="eastAsia"/>
              </w:rPr>
              <w:t>根据现场踏勘调查，目前三座污水处理厂均已经施工、调试完毕，均处于正常运行阶段，属于“未批先建”项目。其中：邓川污水处理厂于2019年9月30日开工，2019年10月25日竣工，2019年11月~2月为试运行阶段；右所污水处理厂于2019年10月开工，2019年11月竣工，2019年11月~2月为试运行阶段；牛街污水处理厂于2019年11月开工，2020年3月竣工，2020年3月~6月为试运行阶段。管网修复及村落污水处理站点改造工程于2020年6月开工建设，预计竣工时间为2021年6月。</w:t>
            </w:r>
          </w:p>
          <w:p>
            <w:pPr>
              <w:adjustRightInd w:val="0"/>
              <w:snapToGrid w:val="0"/>
              <w:spacing w:line="360" w:lineRule="auto"/>
              <w:ind w:firstLine="480" w:firstLineChars="200"/>
              <w:rPr>
                <w:szCs w:val="24"/>
              </w:rPr>
            </w:pPr>
            <w:r>
              <w:rPr>
                <w:szCs w:val="24"/>
              </w:rPr>
              <w:t>为了对建设项目实施可能造成的环境影响进行分析</w:t>
            </w:r>
            <w:r>
              <w:rPr>
                <w:rFonts w:hint="eastAsia"/>
                <w:szCs w:val="24"/>
              </w:rPr>
              <w:t>、</w:t>
            </w:r>
            <w:r>
              <w:rPr>
                <w:szCs w:val="24"/>
              </w:rPr>
              <w:t>评估，依据《中华人民共和国环境影响评价法》和《建设项目环境保护管理条例》的相关规定，需进行环境影响评价。</w:t>
            </w:r>
            <w:r>
              <w:rPr>
                <w:color w:val="FF0000"/>
                <w:szCs w:val="24"/>
              </w:rPr>
              <w:t>根据《建设项目环境影响评价分类管理名录》</w:t>
            </w:r>
            <w:r>
              <w:rPr>
                <w:rFonts w:hint="eastAsia"/>
                <w:color w:val="FF0000"/>
                <w:szCs w:val="24"/>
              </w:rPr>
              <w:t>（2021版）</w:t>
            </w:r>
            <w:r>
              <w:rPr>
                <w:color w:val="FF0000"/>
                <w:szCs w:val="24"/>
              </w:rPr>
              <w:t>，本项目</w:t>
            </w:r>
            <w:r>
              <w:rPr>
                <w:rFonts w:hint="eastAsia"/>
                <w:color w:val="FF0000"/>
                <w:szCs w:val="24"/>
              </w:rPr>
              <w:t>属于“四十三条 水的生产和供应业’、‘第95条 污水处理及再生利用’中的‘新建、扩建日处理10万吨以下500吨及以上城乡污水处理的’”</w:t>
            </w:r>
            <w:r>
              <w:rPr>
                <w:rFonts w:hint="eastAsia"/>
                <w:szCs w:val="24"/>
              </w:rPr>
              <w:t>，需编制环境影响报告表。</w:t>
            </w:r>
            <w:r>
              <w:rPr>
                <w:szCs w:val="24"/>
              </w:rPr>
              <w:t>因此</w:t>
            </w:r>
            <w:r>
              <w:rPr>
                <w:rFonts w:hint="eastAsia"/>
                <w:szCs w:val="24"/>
              </w:rPr>
              <w:t>，</w:t>
            </w:r>
            <w:r>
              <w:rPr>
                <w:szCs w:val="24"/>
              </w:rPr>
              <w:t>建设单位委托我公司承担该项目的环境影响报告表编制工作</w:t>
            </w:r>
            <w:r>
              <w:rPr>
                <w:rFonts w:hint="eastAsia"/>
                <w:szCs w:val="24"/>
              </w:rPr>
              <w:t>。接受委托后，</w:t>
            </w:r>
            <w:r>
              <w:rPr>
                <w:szCs w:val="24"/>
              </w:rPr>
              <w:t>我公司通过现场踏勘调查、收集资料和工程分析，并依据《环境影响评价技术导则》的要求编制了本项目的环境影响报告表，</w:t>
            </w:r>
            <w:r>
              <w:rPr>
                <w:rFonts w:hint="eastAsia"/>
                <w:szCs w:val="24"/>
              </w:rPr>
              <w:t>以</w:t>
            </w:r>
            <w:r>
              <w:rPr>
                <w:szCs w:val="24"/>
              </w:rPr>
              <w:t>供建设单位上报</w:t>
            </w:r>
            <w:r>
              <w:rPr>
                <w:rFonts w:hint="eastAsia"/>
                <w:szCs w:val="24"/>
              </w:rPr>
              <w:t>审批</w:t>
            </w:r>
            <w:r>
              <w:rPr>
                <w:szCs w:val="24"/>
              </w:rPr>
              <w:t>。</w:t>
            </w:r>
          </w:p>
          <w:p>
            <w:pPr>
              <w:numPr>
                <w:ilvl w:val="0"/>
                <w:numId w:val="3"/>
              </w:numPr>
              <w:adjustRightInd w:val="0"/>
              <w:snapToGrid w:val="0"/>
              <w:spacing w:line="360" w:lineRule="auto"/>
              <w:ind w:firstLine="482" w:firstLineChars="200"/>
              <w:rPr>
                <w:b/>
                <w:szCs w:val="24"/>
              </w:rPr>
            </w:pPr>
            <w:r>
              <w:rPr>
                <w:rFonts w:hint="eastAsia"/>
                <w:b/>
                <w:szCs w:val="24"/>
              </w:rPr>
              <w:t>原有项目概况</w:t>
            </w:r>
          </w:p>
          <w:p>
            <w:pPr>
              <w:numPr>
                <w:ilvl w:val="0"/>
                <w:numId w:val="4"/>
              </w:numPr>
              <w:tabs>
                <w:tab w:val="left" w:pos="417"/>
                <w:tab w:val="left" w:pos="3615"/>
              </w:tabs>
              <w:adjustRightInd w:val="0"/>
              <w:snapToGrid w:val="0"/>
              <w:spacing w:line="360" w:lineRule="auto"/>
              <w:ind w:firstLine="482" w:firstLineChars="200"/>
              <w:rPr>
                <w:b/>
                <w:bCs/>
                <w:szCs w:val="24"/>
              </w:rPr>
            </w:pPr>
            <w:r>
              <w:rPr>
                <w:rFonts w:hint="eastAsia"/>
                <w:b/>
                <w:bCs/>
                <w:szCs w:val="24"/>
              </w:rPr>
              <w:t>原有项目环保手续履行情况</w:t>
            </w:r>
          </w:p>
          <w:p>
            <w:pPr>
              <w:numPr>
                <w:ilvl w:val="0"/>
                <w:numId w:val="5"/>
              </w:numPr>
              <w:tabs>
                <w:tab w:val="left" w:pos="417"/>
                <w:tab w:val="left" w:pos="3615"/>
              </w:tabs>
              <w:adjustRightInd w:val="0"/>
              <w:snapToGrid w:val="0"/>
              <w:spacing w:line="360" w:lineRule="auto"/>
              <w:ind w:firstLine="480" w:firstLineChars="200"/>
              <w:rPr>
                <w:szCs w:val="24"/>
              </w:rPr>
            </w:pPr>
            <w:r>
              <w:rPr>
                <w:szCs w:val="24"/>
              </w:rPr>
              <w:t>邓川污水处理厂</w:t>
            </w:r>
          </w:p>
          <w:p>
            <w:pPr>
              <w:adjustRightInd w:val="0"/>
              <w:snapToGrid w:val="0"/>
              <w:spacing w:line="360" w:lineRule="auto"/>
              <w:ind w:firstLine="480" w:firstLineChars="200"/>
            </w:pPr>
            <w:r>
              <w:rPr>
                <w:rFonts w:hint="eastAsia"/>
              </w:rPr>
              <w:t>2008年1月14日，《洱源县邓川镇污水处理厂及配套管网工程环境影响报告书》取得了云南省环境保护局准予行政许可决定书（云环许准﹝2008﹞3号）。</w:t>
            </w:r>
          </w:p>
          <w:p>
            <w:pPr>
              <w:adjustRightInd w:val="0"/>
              <w:snapToGrid w:val="0"/>
              <w:spacing w:line="360" w:lineRule="auto"/>
              <w:ind w:firstLine="480" w:firstLineChars="200"/>
            </w:pPr>
            <w:r>
              <w:rPr>
                <w:rFonts w:hint="eastAsia"/>
              </w:rPr>
              <w:t>2016年3月1日，《洱源县邓川镇污水处理厂及配套管网工程》取得了大理州环境保护局的竣工环境保护验收批复（大环审﹝2016﹞9号）。</w:t>
            </w:r>
          </w:p>
          <w:p>
            <w:pPr>
              <w:numPr>
                <w:ilvl w:val="0"/>
                <w:numId w:val="5"/>
              </w:numPr>
              <w:tabs>
                <w:tab w:val="left" w:pos="417"/>
                <w:tab w:val="left" w:pos="3615"/>
              </w:tabs>
              <w:adjustRightInd w:val="0"/>
              <w:snapToGrid w:val="0"/>
              <w:spacing w:line="360" w:lineRule="auto"/>
              <w:ind w:firstLine="480" w:firstLineChars="200"/>
              <w:rPr>
                <w:szCs w:val="24"/>
              </w:rPr>
            </w:pPr>
            <w:r>
              <w:rPr>
                <w:rFonts w:hint="eastAsia"/>
                <w:szCs w:val="24"/>
              </w:rPr>
              <w:t>右所</w:t>
            </w:r>
            <w:r>
              <w:rPr>
                <w:szCs w:val="24"/>
              </w:rPr>
              <w:t>污水处理厂</w:t>
            </w:r>
          </w:p>
          <w:p>
            <w:pPr>
              <w:tabs>
                <w:tab w:val="left" w:pos="417"/>
                <w:tab w:val="left" w:pos="3615"/>
              </w:tabs>
              <w:adjustRightInd w:val="0"/>
              <w:snapToGrid w:val="0"/>
              <w:spacing w:line="360" w:lineRule="auto"/>
              <w:ind w:firstLine="480" w:firstLineChars="200"/>
              <w:rPr>
                <w:szCs w:val="24"/>
              </w:rPr>
            </w:pPr>
            <w:r>
              <w:rPr>
                <w:rFonts w:hint="eastAsia"/>
                <w:szCs w:val="24"/>
              </w:rPr>
              <w:t>2011年9月30日，《右所集镇污水收集处理设施工程环境影响报告表》取得了大理州环境保护局的批复（</w:t>
            </w:r>
            <w:r>
              <w:rPr>
                <w:rFonts w:hint="eastAsia"/>
              </w:rPr>
              <w:t>大环审﹝2011﹞59号</w:t>
            </w:r>
            <w:r>
              <w:rPr>
                <w:rFonts w:hint="eastAsia"/>
                <w:szCs w:val="24"/>
              </w:rPr>
              <w:t>）。</w:t>
            </w:r>
          </w:p>
          <w:p>
            <w:pPr>
              <w:tabs>
                <w:tab w:val="left" w:pos="417"/>
                <w:tab w:val="left" w:pos="3615"/>
              </w:tabs>
              <w:adjustRightInd w:val="0"/>
              <w:snapToGrid w:val="0"/>
              <w:spacing w:line="360" w:lineRule="auto"/>
              <w:ind w:firstLine="480" w:firstLineChars="200"/>
              <w:rPr>
                <w:szCs w:val="24"/>
              </w:rPr>
            </w:pPr>
            <w:r>
              <w:rPr>
                <w:rFonts w:hint="eastAsia"/>
                <w:szCs w:val="24"/>
              </w:rPr>
              <w:t>2015年12月15日，《右所集镇污水收集处理设施工程》取得了</w:t>
            </w:r>
            <w:r>
              <w:rPr>
                <w:rFonts w:hint="eastAsia"/>
              </w:rPr>
              <w:t>大理州环境保护局的竣工环境保护验收批复（大环审﹝2015﹞146号）。</w:t>
            </w:r>
          </w:p>
          <w:p>
            <w:pPr>
              <w:numPr>
                <w:ilvl w:val="0"/>
                <w:numId w:val="5"/>
              </w:numPr>
              <w:tabs>
                <w:tab w:val="left" w:pos="417"/>
                <w:tab w:val="left" w:pos="3615"/>
              </w:tabs>
              <w:adjustRightInd w:val="0"/>
              <w:snapToGrid w:val="0"/>
              <w:spacing w:line="360" w:lineRule="auto"/>
              <w:ind w:firstLine="480" w:firstLineChars="200"/>
              <w:rPr>
                <w:szCs w:val="24"/>
              </w:rPr>
            </w:pPr>
            <w:r>
              <w:rPr>
                <w:rFonts w:hint="eastAsia"/>
                <w:szCs w:val="24"/>
              </w:rPr>
              <w:t>牛街</w:t>
            </w:r>
            <w:r>
              <w:rPr>
                <w:szCs w:val="24"/>
              </w:rPr>
              <w:t>污水处理厂</w:t>
            </w:r>
          </w:p>
          <w:p>
            <w:pPr>
              <w:adjustRightInd w:val="0"/>
              <w:snapToGrid w:val="0"/>
              <w:spacing w:line="360" w:lineRule="auto"/>
              <w:ind w:firstLine="480" w:firstLineChars="200"/>
              <w:rPr>
                <w:rFonts w:ascii="宋体" w:hAnsi="宋体"/>
                <w:szCs w:val="24"/>
              </w:rPr>
            </w:pPr>
            <w:r>
              <w:rPr>
                <w:rFonts w:hint="eastAsia" w:ascii="宋体" w:hAnsi="宋体"/>
                <w:szCs w:val="24"/>
              </w:rPr>
              <w:t>牛街污水处理厂包括老厂和新厂一期，均位于</w:t>
            </w:r>
            <w:r>
              <w:rPr>
                <w:rFonts w:hint="eastAsia"/>
                <w:szCs w:val="24"/>
              </w:rPr>
              <w:t>牛街乡牛街村委会，</w:t>
            </w:r>
            <w:r>
              <w:rPr>
                <w:rFonts w:hint="eastAsia" w:ascii="宋体" w:hAnsi="宋体"/>
                <w:szCs w:val="24"/>
              </w:rPr>
              <w:t>目前老厂已经不在使用，</w:t>
            </w:r>
            <w:r>
              <w:rPr>
                <w:rFonts w:ascii="宋体" w:hAnsi="宋体"/>
                <w:szCs w:val="24"/>
              </w:rPr>
              <w:t>作为应急处理设施和三期预留用地</w:t>
            </w:r>
            <w:r>
              <w:rPr>
                <w:rFonts w:hint="eastAsia" w:ascii="宋体" w:hAnsi="宋体"/>
                <w:szCs w:val="24"/>
              </w:rPr>
              <w:t>。</w:t>
            </w:r>
          </w:p>
          <w:p>
            <w:pPr>
              <w:tabs>
                <w:tab w:val="left" w:pos="417"/>
                <w:tab w:val="left" w:pos="3615"/>
              </w:tabs>
              <w:adjustRightInd w:val="0"/>
              <w:snapToGrid w:val="0"/>
              <w:spacing w:line="360" w:lineRule="auto"/>
              <w:ind w:firstLine="480"/>
              <w:rPr>
                <w:szCs w:val="24"/>
              </w:rPr>
            </w:pPr>
            <w:r>
              <w:rPr>
                <w:rFonts w:hint="eastAsia"/>
                <w:szCs w:val="24"/>
              </w:rPr>
              <w:t>2011年9月，《牛街集镇污水收集处理设施工程环境影响报告表》（老厂）取得了大理州环境保护局的批复（</w:t>
            </w:r>
            <w:r>
              <w:rPr>
                <w:rFonts w:hint="eastAsia"/>
              </w:rPr>
              <w:t>大环审﹝2011﹞58号</w:t>
            </w:r>
            <w:r>
              <w:rPr>
                <w:rFonts w:hint="eastAsia"/>
                <w:szCs w:val="24"/>
              </w:rPr>
              <w:t>）。</w:t>
            </w:r>
          </w:p>
          <w:p>
            <w:pPr>
              <w:tabs>
                <w:tab w:val="left" w:pos="417"/>
                <w:tab w:val="left" w:pos="3615"/>
              </w:tabs>
              <w:adjustRightInd w:val="0"/>
              <w:snapToGrid w:val="0"/>
              <w:spacing w:line="360" w:lineRule="auto"/>
              <w:ind w:firstLine="480"/>
              <w:rPr>
                <w:szCs w:val="24"/>
              </w:rPr>
            </w:pPr>
            <w:r>
              <w:rPr>
                <w:rFonts w:hint="eastAsia"/>
                <w:szCs w:val="24"/>
              </w:rPr>
              <w:t>2016年6月，《洱源县（洱海流域）城镇及村落污水收集处理工程环境影响报告表》（新厂一期）取得大理白族自治州环境保护局该项目的环境影响报告表的批复（大环审【2016】75号）。</w:t>
            </w:r>
          </w:p>
          <w:p>
            <w:pPr>
              <w:tabs>
                <w:tab w:val="left" w:pos="417"/>
                <w:tab w:val="left" w:pos="3615"/>
              </w:tabs>
              <w:adjustRightInd w:val="0"/>
              <w:snapToGrid w:val="0"/>
              <w:spacing w:line="360" w:lineRule="auto"/>
              <w:ind w:firstLine="480"/>
            </w:pPr>
            <w:r>
              <w:rPr>
                <w:rFonts w:hint="eastAsia"/>
                <w:szCs w:val="24"/>
              </w:rPr>
              <w:t>2015年12月15日，《牛街集镇污水收集处理设施工程》（老厂）取得了</w:t>
            </w:r>
            <w:r>
              <w:rPr>
                <w:rFonts w:hint="eastAsia"/>
              </w:rPr>
              <w:t>大理州环境保护局的竣工环境保护验收批复（大环审﹝2015﹞143号）。</w:t>
            </w:r>
          </w:p>
          <w:p>
            <w:pPr>
              <w:tabs>
                <w:tab w:val="left" w:pos="417"/>
                <w:tab w:val="left" w:pos="3615"/>
              </w:tabs>
              <w:adjustRightInd w:val="0"/>
              <w:snapToGrid w:val="0"/>
              <w:spacing w:line="360" w:lineRule="auto"/>
              <w:ind w:firstLine="480"/>
            </w:pPr>
            <w:r>
              <w:rPr>
                <w:rFonts w:hint="eastAsia"/>
                <w:szCs w:val="24"/>
              </w:rPr>
              <w:t>2019年3月，《洱源县（洱海流域）城镇及村落污水收集处理工程》（新厂一期）通过了自主竣工环境保护验收。</w:t>
            </w:r>
          </w:p>
          <w:p>
            <w:pPr>
              <w:numPr>
                <w:ilvl w:val="0"/>
                <w:numId w:val="4"/>
              </w:numPr>
              <w:tabs>
                <w:tab w:val="left" w:pos="417"/>
                <w:tab w:val="left" w:pos="3615"/>
              </w:tabs>
              <w:adjustRightInd w:val="0"/>
              <w:snapToGrid w:val="0"/>
              <w:spacing w:line="360" w:lineRule="auto"/>
              <w:ind w:firstLine="482" w:firstLineChars="200"/>
              <w:rPr>
                <w:b/>
                <w:bCs/>
                <w:szCs w:val="24"/>
              </w:rPr>
            </w:pPr>
            <w:r>
              <w:rPr>
                <w:rFonts w:hint="eastAsia"/>
                <w:b/>
                <w:bCs/>
                <w:szCs w:val="24"/>
              </w:rPr>
              <w:t>原有项目建设内容及规模</w:t>
            </w:r>
          </w:p>
          <w:p>
            <w:pPr>
              <w:adjustRightInd w:val="0"/>
              <w:snapToGrid w:val="0"/>
              <w:spacing w:line="360" w:lineRule="auto"/>
              <w:ind w:firstLine="482" w:firstLineChars="200"/>
              <w:rPr>
                <w:b/>
                <w:bCs/>
                <w:szCs w:val="24"/>
                <w:lang w:bidi="zh-CN"/>
              </w:rPr>
            </w:pPr>
            <w:r>
              <w:rPr>
                <w:rFonts w:hint="eastAsia"/>
                <w:b/>
                <w:bCs/>
                <w:szCs w:val="24"/>
                <w:lang w:bidi="zh-CN"/>
              </w:rPr>
              <w:t>（1）地理位置</w:t>
            </w:r>
          </w:p>
          <w:p>
            <w:pPr>
              <w:adjustRightInd w:val="0"/>
              <w:snapToGrid w:val="0"/>
              <w:spacing w:line="360" w:lineRule="auto"/>
              <w:ind w:firstLine="480" w:firstLineChars="200"/>
              <w:rPr>
                <w:szCs w:val="24"/>
              </w:rPr>
            </w:pPr>
            <w:r>
              <w:rPr>
                <w:szCs w:val="24"/>
              </w:rPr>
              <w:t>右所污水处理厂位于</w:t>
            </w:r>
            <w:r>
              <w:rPr>
                <w:rFonts w:hint="eastAsia"/>
                <w:szCs w:val="24"/>
              </w:rPr>
              <w:t>右所镇右所村委会，</w:t>
            </w:r>
            <w:r>
              <w:rPr>
                <w:szCs w:val="24"/>
              </w:rPr>
              <w:t>永安江东侧，</w:t>
            </w:r>
            <w:r>
              <w:rPr>
                <w:rFonts w:hint="eastAsia"/>
                <w:szCs w:val="24"/>
              </w:rPr>
              <w:t>占地</w:t>
            </w:r>
            <w:r>
              <w:rPr>
                <w:szCs w:val="24"/>
              </w:rPr>
              <w:t>面积</w:t>
            </w:r>
            <w:r>
              <w:rPr>
                <w:rFonts w:hint="eastAsia"/>
                <w:szCs w:val="24"/>
              </w:rPr>
              <w:t>1.67</w:t>
            </w:r>
            <w:r>
              <w:rPr>
                <w:szCs w:val="24"/>
              </w:rPr>
              <w:t>亩。牛街乡污水处理厂</w:t>
            </w:r>
            <w:r>
              <w:rPr>
                <w:rFonts w:hint="eastAsia"/>
                <w:szCs w:val="24"/>
              </w:rPr>
              <w:t>（包括老厂和新厂一期）均位于牛街乡牛街村委会</w:t>
            </w:r>
            <w:r>
              <w:rPr>
                <w:szCs w:val="24"/>
              </w:rPr>
              <w:t>，</w:t>
            </w:r>
            <w:r>
              <w:rPr>
                <w:rFonts w:hint="eastAsia"/>
                <w:szCs w:val="24"/>
              </w:rPr>
              <w:t>占地面积5.69</w:t>
            </w:r>
            <w:r>
              <w:rPr>
                <w:szCs w:val="24"/>
              </w:rPr>
              <w:t>亩。</w:t>
            </w:r>
            <w:r>
              <w:rPr>
                <w:rFonts w:hint="eastAsia"/>
                <w:szCs w:val="24"/>
              </w:rPr>
              <w:t>邓川污水处理厂位于邓川镇中和村民委员会莲荷村，罗时江下游北岸，总用地面积1.526hm</w:t>
            </w:r>
            <w:r>
              <w:rPr>
                <w:rFonts w:hint="eastAsia"/>
                <w:szCs w:val="24"/>
                <w:vertAlign w:val="superscript"/>
              </w:rPr>
              <w:t>2</w:t>
            </w:r>
            <w:r>
              <w:rPr>
                <w:rFonts w:hint="eastAsia"/>
                <w:szCs w:val="24"/>
              </w:rPr>
              <w:t>。</w:t>
            </w:r>
          </w:p>
          <w:p>
            <w:pPr>
              <w:adjustRightInd w:val="0"/>
              <w:snapToGrid w:val="0"/>
              <w:spacing w:line="360" w:lineRule="auto"/>
              <w:ind w:firstLine="482" w:firstLineChars="200"/>
              <w:rPr>
                <w:b/>
                <w:bCs/>
                <w:szCs w:val="24"/>
                <w:lang w:bidi="zh-CN"/>
              </w:rPr>
            </w:pPr>
            <w:bookmarkStart w:id="2" w:name="bookmark540"/>
            <w:r>
              <w:rPr>
                <w:rFonts w:hint="eastAsia"/>
                <w:b/>
                <w:bCs/>
                <w:szCs w:val="24"/>
                <w:lang w:bidi="zh-CN"/>
              </w:rPr>
              <w:t>（2）处理规模</w:t>
            </w:r>
          </w:p>
          <w:p>
            <w:pPr>
              <w:spacing w:line="360" w:lineRule="auto"/>
              <w:jc w:val="center"/>
              <w:rPr>
                <w:b/>
                <w:sz w:val="21"/>
                <w:szCs w:val="21"/>
              </w:rPr>
            </w:pPr>
            <w:r>
              <w:rPr>
                <w:rFonts w:hAnsi="宋体"/>
                <w:b/>
                <w:sz w:val="21"/>
                <w:szCs w:val="21"/>
                <w:lang w:val="zh-CN" w:bidi="zh-CN"/>
              </w:rPr>
              <w:t>表</w:t>
            </w:r>
            <w:r>
              <w:rPr>
                <w:rFonts w:hint="eastAsia"/>
                <w:b/>
                <w:sz w:val="21"/>
                <w:szCs w:val="21"/>
                <w:lang w:bidi="zh-CN"/>
              </w:rPr>
              <w:t xml:space="preserve">1-1  </w:t>
            </w:r>
            <w:r>
              <w:rPr>
                <w:rFonts w:hint="eastAsia" w:hAnsi="宋体"/>
                <w:b/>
                <w:sz w:val="21"/>
                <w:szCs w:val="21"/>
                <w:lang w:val="zh-CN" w:bidi="zh-CN"/>
              </w:rPr>
              <w:t>三</w:t>
            </w:r>
            <w:r>
              <w:rPr>
                <w:rFonts w:hAnsi="宋体"/>
                <w:b/>
                <w:sz w:val="21"/>
                <w:szCs w:val="21"/>
                <w:lang w:val="zh-CN" w:bidi="zh-CN"/>
              </w:rPr>
              <w:t>座污水处理厂规模一览表</w:t>
            </w:r>
            <w:bookmarkEnd w:id="2"/>
          </w:p>
          <w:tbl>
            <w:tblPr>
              <w:tblStyle w:val="37"/>
              <w:tblW w:w="0" w:type="auto"/>
              <w:tblInd w:w="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2408"/>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9" w:type="dxa"/>
                  <w:vAlign w:val="center"/>
                </w:tcPr>
                <w:p>
                  <w:pPr>
                    <w:kinsoku w:val="0"/>
                    <w:overflowPunct w:val="0"/>
                    <w:adjustRightInd w:val="0"/>
                    <w:snapToGrid w:val="0"/>
                    <w:spacing w:before="4"/>
                    <w:ind w:left="13" w:hanging="13" w:hangingChars="6"/>
                    <w:jc w:val="center"/>
                    <w:rPr>
                      <w:b/>
                      <w:bCs/>
                      <w:sz w:val="21"/>
                      <w:lang w:val="zh-CN"/>
                    </w:rPr>
                  </w:pPr>
                  <w:r>
                    <w:rPr>
                      <w:b/>
                      <w:bCs/>
                      <w:sz w:val="21"/>
                      <w:lang w:val="zh-CN"/>
                    </w:rPr>
                    <w:t>污水处理厂</w:t>
                  </w:r>
                </w:p>
              </w:tc>
              <w:tc>
                <w:tcPr>
                  <w:tcW w:w="2408" w:type="dxa"/>
                  <w:vAlign w:val="center"/>
                </w:tcPr>
                <w:p>
                  <w:pPr>
                    <w:kinsoku w:val="0"/>
                    <w:overflowPunct w:val="0"/>
                    <w:adjustRightInd w:val="0"/>
                    <w:snapToGrid w:val="0"/>
                    <w:spacing w:before="4"/>
                    <w:ind w:left="13" w:hanging="13" w:hangingChars="6"/>
                    <w:jc w:val="center"/>
                    <w:rPr>
                      <w:b/>
                      <w:bCs/>
                      <w:sz w:val="21"/>
                      <w:lang w:val="zh-CN"/>
                    </w:rPr>
                  </w:pPr>
                  <w:r>
                    <w:rPr>
                      <w:rFonts w:hint="eastAsia"/>
                      <w:b/>
                      <w:bCs/>
                      <w:sz w:val="21"/>
                      <w:lang w:val="zh-CN"/>
                    </w:rPr>
                    <w:t>设计</w:t>
                  </w:r>
                  <w:r>
                    <w:rPr>
                      <w:b/>
                      <w:bCs/>
                      <w:sz w:val="21"/>
                      <w:lang w:val="zh-CN"/>
                    </w:rPr>
                    <w:t>规模</w:t>
                  </w:r>
                  <w:r>
                    <w:rPr>
                      <w:b/>
                      <w:bCs/>
                      <w:sz w:val="21"/>
                      <w:lang w:eastAsia="en-US"/>
                    </w:rPr>
                    <w:t>（m</w:t>
                  </w:r>
                  <w:r>
                    <w:rPr>
                      <w:b/>
                      <w:bCs/>
                      <w:sz w:val="21"/>
                      <w:vertAlign w:val="superscript"/>
                      <w:lang w:eastAsia="en-US"/>
                    </w:rPr>
                    <w:t>3</w:t>
                  </w:r>
                  <w:r>
                    <w:rPr>
                      <w:b/>
                      <w:bCs/>
                      <w:sz w:val="21"/>
                      <w:lang w:eastAsia="en-US"/>
                    </w:rPr>
                    <w:t>/d）</w:t>
                  </w:r>
                </w:p>
              </w:tc>
              <w:tc>
                <w:tcPr>
                  <w:tcW w:w="1713" w:type="dxa"/>
                  <w:vAlign w:val="center"/>
                </w:tcPr>
                <w:p>
                  <w:pPr>
                    <w:kinsoku w:val="0"/>
                    <w:overflowPunct w:val="0"/>
                    <w:adjustRightInd w:val="0"/>
                    <w:snapToGrid w:val="0"/>
                    <w:spacing w:before="4"/>
                    <w:ind w:left="13" w:hanging="13" w:hangingChars="6"/>
                    <w:jc w:val="center"/>
                    <w:rPr>
                      <w:b/>
                      <w:bCs/>
                      <w:sz w:val="21"/>
                      <w:lang w:val="zh-CN"/>
                    </w:rPr>
                  </w:pPr>
                  <w:r>
                    <w:rPr>
                      <w:rFonts w:hint="eastAsia"/>
                      <w:b/>
                      <w:bCs/>
                      <w:sz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lang w:val="zh-CN"/>
                    </w:rPr>
                  </w:pPr>
                  <w:r>
                    <w:rPr>
                      <w:rFonts w:hint="eastAsia"/>
                      <w:sz w:val="21"/>
                      <w:lang w:val="zh-CN"/>
                    </w:rPr>
                    <w:t>邓川污水处理厂</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rPr>
                    <w:t>2000</w:t>
                  </w:r>
                </w:p>
              </w:tc>
              <w:tc>
                <w:tcPr>
                  <w:tcW w:w="1713" w:type="dxa"/>
                  <w:vAlign w:val="center"/>
                </w:tcPr>
                <w:p>
                  <w:pPr>
                    <w:kinsoku w:val="0"/>
                    <w:overflowPunct w:val="0"/>
                    <w:adjustRightInd w:val="0"/>
                    <w:snapToGrid w:val="0"/>
                    <w:spacing w:before="4"/>
                    <w:ind w:left="13" w:hanging="12" w:hangingChars="6"/>
                    <w:jc w:val="center"/>
                    <w:rPr>
                      <w:sz w:val="21"/>
                    </w:rPr>
                  </w:pPr>
                  <w:r>
                    <w:rPr>
                      <w:rFonts w:hint="eastAsia"/>
                      <w:sz w:val="21"/>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rPr>
                  </w:pPr>
                  <w:r>
                    <w:rPr>
                      <w:sz w:val="21"/>
                      <w:lang w:val="zh-CN"/>
                    </w:rPr>
                    <w:t>右所污水处理厂</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lang w:val="zh-CN"/>
                    </w:rPr>
                    <w:t>2000</w:t>
                  </w:r>
                </w:p>
              </w:tc>
              <w:tc>
                <w:tcPr>
                  <w:tcW w:w="1713" w:type="dxa"/>
                  <w:vAlign w:val="center"/>
                </w:tcPr>
                <w:p>
                  <w:pPr>
                    <w:kinsoku w:val="0"/>
                    <w:overflowPunct w:val="0"/>
                    <w:adjustRightInd w:val="0"/>
                    <w:snapToGrid w:val="0"/>
                    <w:spacing w:before="4"/>
                    <w:ind w:left="13" w:hanging="12" w:hangingChars="6"/>
                    <w:jc w:val="center"/>
                    <w:rPr>
                      <w:sz w:val="21"/>
                      <w:lang w:val="zh-CN"/>
                    </w:rPr>
                  </w:pPr>
                  <w:r>
                    <w:rPr>
                      <w:rFonts w:hint="eastAsia"/>
                      <w:sz w:val="21"/>
                      <w:lang w:val="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rPr>
                  </w:pPr>
                  <w:r>
                    <w:rPr>
                      <w:sz w:val="21"/>
                      <w:lang w:val="zh-CN"/>
                    </w:rPr>
                    <w:t>牛街乡污水处理厂</w:t>
                  </w:r>
                  <w:r>
                    <w:rPr>
                      <w:rFonts w:hint="eastAsia"/>
                      <w:sz w:val="21"/>
                      <w:lang w:val="zh-CN"/>
                    </w:rPr>
                    <w:t>（老厂）</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lang w:val="zh-CN"/>
                    </w:rPr>
                    <w:t>1000</w:t>
                  </w:r>
                </w:p>
              </w:tc>
              <w:tc>
                <w:tcPr>
                  <w:tcW w:w="1713" w:type="dxa"/>
                  <w:vAlign w:val="center"/>
                </w:tcPr>
                <w:p>
                  <w:pPr>
                    <w:kinsoku w:val="0"/>
                    <w:overflowPunct w:val="0"/>
                    <w:adjustRightInd w:val="0"/>
                    <w:snapToGrid w:val="0"/>
                    <w:spacing w:before="4"/>
                    <w:ind w:left="13" w:hanging="12" w:hangingChars="6"/>
                    <w:jc w:val="center"/>
                    <w:rPr>
                      <w:sz w:val="21"/>
                      <w:lang w:val="zh-CN"/>
                    </w:rPr>
                  </w:pPr>
                  <w:r>
                    <w:rPr>
                      <w:rFonts w:hint="eastAsia"/>
                      <w:sz w:val="21"/>
                      <w:lang w:val="zh-CN"/>
                    </w:rPr>
                    <w:t>已停产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lang w:val="zh-CN"/>
                    </w:rPr>
                  </w:pPr>
                  <w:r>
                    <w:rPr>
                      <w:sz w:val="21"/>
                      <w:lang w:val="zh-CN"/>
                    </w:rPr>
                    <w:t>牛街乡污水处理厂</w:t>
                  </w:r>
                  <w:r>
                    <w:rPr>
                      <w:rFonts w:hint="eastAsia"/>
                      <w:sz w:val="21"/>
                      <w:lang w:val="zh-CN"/>
                    </w:rPr>
                    <w:t>（新厂一期）</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rPr>
                    <w:t>1000</w:t>
                  </w:r>
                </w:p>
              </w:tc>
              <w:tc>
                <w:tcPr>
                  <w:tcW w:w="1713" w:type="dxa"/>
                  <w:vAlign w:val="center"/>
                </w:tcPr>
                <w:p>
                  <w:pPr>
                    <w:kinsoku w:val="0"/>
                    <w:overflowPunct w:val="0"/>
                    <w:adjustRightInd w:val="0"/>
                    <w:snapToGrid w:val="0"/>
                    <w:spacing w:before="4"/>
                    <w:ind w:left="13" w:hanging="12" w:hangingChars="6"/>
                    <w:jc w:val="center"/>
                    <w:rPr>
                      <w:sz w:val="21"/>
                    </w:rPr>
                  </w:pPr>
                  <w:r>
                    <w:rPr>
                      <w:rFonts w:hint="eastAsia"/>
                      <w:sz w:val="21"/>
                    </w:rPr>
                    <w:t>正常运行</w:t>
                  </w:r>
                </w:p>
              </w:tc>
            </w:tr>
          </w:tbl>
          <w:p>
            <w:pPr>
              <w:adjustRightInd w:val="0"/>
              <w:snapToGrid w:val="0"/>
              <w:spacing w:beforeLines="50" w:line="360" w:lineRule="auto"/>
              <w:ind w:firstLine="482" w:firstLineChars="200"/>
              <w:rPr>
                <w:b/>
                <w:bCs/>
                <w:color w:val="FF0000"/>
                <w:szCs w:val="24"/>
                <w:lang w:bidi="zh-CN"/>
              </w:rPr>
            </w:pPr>
            <w:bookmarkStart w:id="3" w:name="bookmark585"/>
            <w:r>
              <w:rPr>
                <w:rFonts w:hint="eastAsia"/>
                <w:b/>
                <w:bCs/>
                <w:color w:val="FF0000"/>
                <w:szCs w:val="24"/>
                <w:lang w:bidi="zh-CN"/>
              </w:rPr>
              <w:t>（3）主要构筑物</w:t>
            </w:r>
          </w:p>
          <w:p>
            <w:pPr>
              <w:adjustRightInd w:val="0"/>
              <w:snapToGrid w:val="0"/>
              <w:spacing w:line="360" w:lineRule="auto"/>
              <w:jc w:val="center"/>
              <w:rPr>
                <w:b/>
                <w:sz w:val="21"/>
                <w:szCs w:val="21"/>
                <w:lang w:val="zh-CN" w:bidi="zh-CN"/>
              </w:rPr>
            </w:pPr>
            <w:r>
              <w:rPr>
                <w:rFonts w:hAnsi="宋体"/>
                <w:b/>
                <w:sz w:val="21"/>
                <w:szCs w:val="21"/>
              </w:rPr>
              <w:t>表</w:t>
            </w:r>
            <w:r>
              <w:rPr>
                <w:rFonts w:hint="eastAsia"/>
                <w:b/>
                <w:sz w:val="21"/>
                <w:szCs w:val="21"/>
              </w:rPr>
              <w:t>1-2  邓川污水厂</w:t>
            </w:r>
            <w:r>
              <w:rPr>
                <w:rFonts w:hint="eastAsia" w:hAnsi="宋体"/>
                <w:b/>
                <w:sz w:val="21"/>
                <w:szCs w:val="21"/>
                <w:lang w:val="zh-CN" w:bidi="zh-CN"/>
              </w:rPr>
              <w:t>原有</w:t>
            </w:r>
            <w:r>
              <w:rPr>
                <w:rFonts w:hAnsi="宋体"/>
                <w:b/>
                <w:sz w:val="21"/>
                <w:szCs w:val="21"/>
                <w:lang w:val="zh-CN" w:bidi="zh-CN"/>
              </w:rPr>
              <w:t>主要构筑物一览表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12"/>
              <w:gridCol w:w="1631"/>
              <w:gridCol w:w="2653"/>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4"/>
                    <w:ind w:left="13" w:hanging="13" w:hangingChars="6"/>
                    <w:jc w:val="center"/>
                    <w:rPr>
                      <w:b/>
                      <w:bCs/>
                      <w:sz w:val="21"/>
                    </w:rPr>
                  </w:pPr>
                  <w:r>
                    <w:rPr>
                      <w:rFonts w:hint="eastAsia"/>
                      <w:b/>
                      <w:bCs/>
                      <w:sz w:val="21"/>
                    </w:rPr>
                    <w:t>构筑物名称</w:t>
                  </w:r>
                </w:p>
              </w:tc>
              <w:tc>
                <w:tcPr>
                  <w:tcW w:w="1631" w:type="dxa"/>
                  <w:vAlign w:val="center"/>
                </w:tcPr>
                <w:p>
                  <w:pPr>
                    <w:kinsoku w:val="0"/>
                    <w:overflowPunct w:val="0"/>
                    <w:adjustRightInd w:val="0"/>
                    <w:snapToGrid w:val="0"/>
                    <w:spacing w:before="4"/>
                    <w:jc w:val="center"/>
                    <w:rPr>
                      <w:b/>
                      <w:bCs/>
                      <w:sz w:val="21"/>
                    </w:rPr>
                  </w:pPr>
                  <w:r>
                    <w:rPr>
                      <w:rFonts w:hint="eastAsia"/>
                      <w:b/>
                      <w:bCs/>
                      <w:sz w:val="21"/>
                    </w:rPr>
                    <w:t>建筑层数</w:t>
                  </w:r>
                </w:p>
              </w:tc>
              <w:tc>
                <w:tcPr>
                  <w:tcW w:w="2653" w:type="dxa"/>
                  <w:vAlign w:val="center"/>
                </w:tcPr>
                <w:p>
                  <w:pPr>
                    <w:kinsoku w:val="0"/>
                    <w:overflowPunct w:val="0"/>
                    <w:adjustRightInd w:val="0"/>
                    <w:snapToGrid w:val="0"/>
                    <w:spacing w:before="4"/>
                    <w:jc w:val="center"/>
                    <w:rPr>
                      <w:b/>
                      <w:bCs/>
                      <w:sz w:val="21"/>
                    </w:rPr>
                  </w:pPr>
                  <w:r>
                    <w:rPr>
                      <w:rFonts w:hint="eastAsia"/>
                      <w:b/>
                      <w:bCs/>
                      <w:sz w:val="21"/>
                    </w:rPr>
                    <w:t>结构形式</w:t>
                  </w:r>
                </w:p>
              </w:tc>
              <w:tc>
                <w:tcPr>
                  <w:tcW w:w="2593" w:type="dxa"/>
                  <w:vAlign w:val="center"/>
                </w:tcPr>
                <w:p>
                  <w:pPr>
                    <w:kinsoku w:val="0"/>
                    <w:overflowPunct w:val="0"/>
                    <w:adjustRightInd w:val="0"/>
                    <w:snapToGrid w:val="0"/>
                    <w:spacing w:before="4"/>
                    <w:jc w:val="center"/>
                    <w:rPr>
                      <w:b/>
                      <w:bCs/>
                      <w:sz w:val="21"/>
                    </w:rPr>
                  </w:pPr>
                  <w:r>
                    <w:rPr>
                      <w:rFonts w:hint="eastAsia"/>
                      <w:b/>
                      <w:bCs/>
                      <w:sz w:val="21"/>
                    </w:rPr>
                    <w:t>基础类型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办公综合楼</w:t>
                  </w:r>
                </w:p>
              </w:tc>
              <w:tc>
                <w:tcPr>
                  <w:tcW w:w="1631" w:type="dxa"/>
                  <w:vAlign w:val="center"/>
                </w:tcPr>
                <w:p>
                  <w:pPr>
                    <w:kinsoku w:val="0"/>
                    <w:overflowPunct w:val="0"/>
                    <w:adjustRightInd w:val="0"/>
                    <w:snapToGrid w:val="0"/>
                    <w:spacing w:before="51"/>
                    <w:ind w:left="100"/>
                    <w:jc w:val="center"/>
                    <w:rPr>
                      <w:sz w:val="21"/>
                      <w:szCs w:val="24"/>
                    </w:rPr>
                  </w:pPr>
                  <w:r>
                    <w:rPr>
                      <w:rFonts w:hint="eastAsia"/>
                      <w:sz w:val="21"/>
                      <w:szCs w:val="24"/>
                    </w:rPr>
                    <w:t>地上二层</w:t>
                  </w: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混砖结构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混凝土条形基础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污泥干化场</w:t>
                  </w:r>
                </w:p>
              </w:tc>
              <w:tc>
                <w:tcPr>
                  <w:tcW w:w="1631" w:type="dxa"/>
                  <w:vAlign w:val="center"/>
                </w:tcPr>
                <w:p>
                  <w:pPr>
                    <w:kinsoku w:val="0"/>
                    <w:overflowPunct w:val="0"/>
                    <w:adjustRightInd w:val="0"/>
                    <w:snapToGrid w:val="0"/>
                    <w:spacing w:before="51"/>
                    <w:ind w:left="8" w:hanging="8"/>
                    <w:jc w:val="center"/>
                    <w:rPr>
                      <w:sz w:val="21"/>
                      <w:szCs w:val="24"/>
                    </w:rPr>
                  </w:pPr>
                  <w:r>
                    <w:rPr>
                      <w:rFonts w:hint="eastAsia"/>
                      <w:sz w:val="21"/>
                      <w:szCs w:val="24"/>
                    </w:rPr>
                    <w:t>地上一层</w:t>
                  </w: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钢网架结构</w:t>
                  </w:r>
                </w:p>
              </w:tc>
              <w:tc>
                <w:tcPr>
                  <w:tcW w:w="2593" w:type="dxa"/>
                  <w:vAlign w:val="center"/>
                </w:tcPr>
                <w:p>
                  <w:pPr>
                    <w:kinsoku w:val="0"/>
                    <w:overflowPunct w:val="0"/>
                    <w:adjustRightInd w:val="0"/>
                    <w:snapToGrid w:val="0"/>
                    <w:spacing w:before="51"/>
                    <w:ind w:left="17" w:hanging="16" w:hangingChars="8"/>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氧化沟</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泵房出水井</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进水泵房</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紫外消毒池</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bl>
          <w:p>
            <w:pPr>
              <w:adjustRightInd w:val="0"/>
              <w:snapToGrid w:val="0"/>
              <w:spacing w:beforeLines="50" w:line="360" w:lineRule="auto"/>
              <w:jc w:val="center"/>
              <w:rPr>
                <w:b/>
                <w:sz w:val="21"/>
                <w:szCs w:val="21"/>
                <w:lang w:val="zh-CN" w:bidi="zh-CN"/>
              </w:rPr>
            </w:pPr>
            <w:r>
              <w:rPr>
                <w:rFonts w:hAnsi="宋体"/>
                <w:b/>
                <w:sz w:val="21"/>
                <w:szCs w:val="21"/>
              </w:rPr>
              <w:t>表</w:t>
            </w:r>
            <w:r>
              <w:rPr>
                <w:rFonts w:hint="eastAsia"/>
                <w:b/>
                <w:sz w:val="21"/>
                <w:szCs w:val="21"/>
              </w:rPr>
              <w:t>1-3  右所污水厂</w:t>
            </w:r>
            <w:r>
              <w:rPr>
                <w:rFonts w:hint="eastAsia" w:hAnsi="宋体"/>
                <w:b/>
                <w:sz w:val="21"/>
                <w:szCs w:val="21"/>
                <w:lang w:val="zh-CN" w:bidi="zh-CN"/>
              </w:rPr>
              <w:t>原有</w:t>
            </w:r>
            <w:r>
              <w:rPr>
                <w:rFonts w:hAnsi="宋体"/>
                <w:b/>
                <w:sz w:val="21"/>
                <w:szCs w:val="21"/>
                <w:lang w:val="zh-CN" w:bidi="zh-CN"/>
              </w:rPr>
              <w:t>主要构筑物一览表</w:t>
            </w:r>
            <w:bookmarkEnd w:id="3"/>
          </w:p>
          <w:tbl>
            <w:tblPr>
              <w:tblStyle w:val="37"/>
              <w:tblW w:w="0" w:type="auto"/>
              <w:tblInd w:w="0" w:type="dxa"/>
              <w:tblLayout w:type="fixed"/>
              <w:tblCellMar>
                <w:top w:w="0" w:type="dxa"/>
                <w:left w:w="0" w:type="dxa"/>
                <w:bottom w:w="0" w:type="dxa"/>
                <w:right w:w="0" w:type="dxa"/>
              </w:tblCellMar>
            </w:tblPr>
            <w:tblGrid>
              <w:gridCol w:w="2683"/>
              <w:gridCol w:w="3473"/>
              <w:gridCol w:w="874"/>
              <w:gridCol w:w="697"/>
              <w:gridCol w:w="874"/>
            </w:tblGrid>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ind w:left="13" w:hanging="13" w:hangingChars="6"/>
                    <w:jc w:val="center"/>
                    <w:rPr>
                      <w:b/>
                      <w:bCs/>
                      <w:sz w:val="21"/>
                    </w:rPr>
                  </w:pPr>
                  <w:r>
                    <w:rPr>
                      <w:rFonts w:hint="eastAsia"/>
                      <w:b/>
                      <w:bCs/>
                      <w:sz w:val="21"/>
                    </w:rPr>
                    <w:t>构筑物名称</w:t>
                  </w:r>
                </w:p>
              </w:tc>
              <w:tc>
                <w:tcPr>
                  <w:tcW w:w="3473" w:type="dxa"/>
                  <w:tcBorders>
                    <w:top w:val="single" w:color="000000" w:sz="4" w:space="0"/>
                    <w:left w:val="single" w:color="000000" w:sz="4" w:space="0"/>
                    <w:bottom w:val="single" w:color="auto" w:sz="4" w:space="0"/>
                    <w:right w:val="single" w:color="000000" w:sz="4" w:space="0"/>
                  </w:tcBorders>
                  <w:vAlign w:val="center"/>
                </w:tcPr>
                <w:p>
                  <w:pPr>
                    <w:kinsoku w:val="0"/>
                    <w:overflowPunct w:val="0"/>
                    <w:adjustRightInd w:val="0"/>
                    <w:snapToGrid w:val="0"/>
                    <w:spacing w:before="4"/>
                    <w:jc w:val="center"/>
                    <w:rPr>
                      <w:b/>
                      <w:bCs/>
                      <w:sz w:val="21"/>
                    </w:rPr>
                  </w:pPr>
                  <w:r>
                    <w:rPr>
                      <w:b/>
                      <w:bCs/>
                      <w:sz w:val="21"/>
                    </w:rPr>
                    <w:t>规格</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jc w:val="center"/>
                    <w:rPr>
                      <w:b/>
                      <w:bCs/>
                      <w:sz w:val="21"/>
                    </w:rPr>
                  </w:pPr>
                  <w:r>
                    <w:rPr>
                      <w:b/>
                      <w:bCs/>
                      <w:sz w:val="21"/>
                    </w:rPr>
                    <w:t>结构</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jc w:val="center"/>
                    <w:rPr>
                      <w:b/>
                      <w:bCs/>
                      <w:sz w:val="21"/>
                    </w:rPr>
                  </w:pPr>
                  <w:r>
                    <w:rPr>
                      <w:b/>
                      <w:bCs/>
                      <w:sz w:val="21"/>
                    </w:rPr>
                    <w:t>单位</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jc w:val="center"/>
                    <w:rPr>
                      <w:b/>
                      <w:bCs/>
                      <w:sz w:val="21"/>
                    </w:rPr>
                  </w:pPr>
                  <w:r>
                    <w:rPr>
                      <w:b/>
                      <w:bCs/>
                      <w:sz w:val="21"/>
                    </w:rPr>
                    <w:t>数量</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auto" w:sz="4" w:space="0"/>
                  </w:tcBorders>
                  <w:vAlign w:val="center"/>
                </w:tcPr>
                <w:p>
                  <w:pPr>
                    <w:kinsoku w:val="0"/>
                    <w:overflowPunct w:val="0"/>
                    <w:adjustRightInd w:val="0"/>
                    <w:snapToGrid w:val="0"/>
                    <w:spacing w:before="51"/>
                    <w:ind w:left="8" w:hanging="8"/>
                    <w:jc w:val="center"/>
                    <w:rPr>
                      <w:sz w:val="21"/>
                      <w:szCs w:val="21"/>
                    </w:rPr>
                  </w:pPr>
                  <w:r>
                    <w:rPr>
                      <w:sz w:val="21"/>
                      <w:szCs w:val="21"/>
                    </w:rPr>
                    <w:t>粗格栅及污水提升泵房</w:t>
                  </w:r>
                </w:p>
              </w:tc>
              <w:tc>
                <w:tcPr>
                  <w:tcW w:w="3473" w:type="dxa"/>
                  <w:tcBorders>
                    <w:top w:val="single" w:color="auto" w:sz="4" w:space="0"/>
                    <w:left w:val="single" w:color="auto" w:sz="4" w:space="0"/>
                    <w:bottom w:val="single" w:color="auto" w:sz="4" w:space="0"/>
                    <w:right w:val="single" w:color="auto" w:sz="4" w:space="0"/>
                  </w:tcBorders>
                </w:tcPr>
                <w:p>
                  <w:pPr>
                    <w:kinsoku w:val="0"/>
                    <w:overflowPunct w:val="0"/>
                    <w:adjustRightInd w:val="0"/>
                    <w:snapToGrid w:val="0"/>
                    <w:spacing w:before="51"/>
                    <w:ind w:left="8" w:hanging="8"/>
                    <w:jc w:val="center"/>
                    <w:rPr>
                      <w:sz w:val="21"/>
                      <w:szCs w:val="21"/>
                    </w:rPr>
                  </w:pPr>
                  <w:r>
                    <w:rPr>
                      <w:sz w:val="21"/>
                      <w:szCs w:val="21"/>
                    </w:rPr>
                    <w:t>15.0m×7.0m×12.5m</w:t>
                  </w:r>
                </w:p>
              </w:tc>
              <w:tc>
                <w:tcPr>
                  <w:tcW w:w="874" w:type="dxa"/>
                  <w:vMerge w:val="restart"/>
                  <w:tcBorders>
                    <w:top w:val="single" w:color="000000" w:sz="4" w:space="0"/>
                    <w:left w:val="single" w:color="auto"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vMerge w:val="restart"/>
                  <w:tcBorders>
                    <w:top w:val="single" w:color="000000" w:sz="4" w:space="0"/>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vMerge w:val="restart"/>
                  <w:tcBorders>
                    <w:top w:val="single" w:color="000000" w:sz="4" w:space="0"/>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rFonts w:hint="eastAsia"/>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auto" w:sz="4" w:space="0"/>
                  </w:tcBorders>
                  <w:vAlign w:val="center"/>
                </w:tcPr>
                <w:p>
                  <w:pPr>
                    <w:kinsoku w:val="0"/>
                    <w:overflowPunct w:val="0"/>
                    <w:adjustRightInd w:val="0"/>
                    <w:snapToGrid w:val="0"/>
                    <w:spacing w:before="51"/>
                    <w:ind w:left="8" w:hanging="8"/>
                    <w:jc w:val="center"/>
                    <w:rPr>
                      <w:sz w:val="21"/>
                      <w:szCs w:val="21"/>
                    </w:rPr>
                  </w:pPr>
                  <w:r>
                    <w:rPr>
                      <w:sz w:val="21"/>
                      <w:szCs w:val="21"/>
                    </w:rPr>
                    <w:t>混合污水调蓄池</w:t>
                  </w:r>
                </w:p>
              </w:tc>
              <w:tc>
                <w:tcPr>
                  <w:tcW w:w="3473" w:type="dxa"/>
                  <w:tcBorders>
                    <w:top w:val="single" w:color="auto" w:sz="4" w:space="0"/>
                    <w:left w:val="single" w:color="auto" w:sz="4" w:space="0"/>
                    <w:bottom w:val="single" w:color="auto" w:sz="4" w:space="0"/>
                    <w:right w:val="single" w:color="auto" w:sz="4" w:space="0"/>
                  </w:tcBorders>
                </w:tcPr>
                <w:p>
                  <w:pPr>
                    <w:kinsoku w:val="0"/>
                    <w:overflowPunct w:val="0"/>
                    <w:adjustRightInd w:val="0"/>
                    <w:snapToGrid w:val="0"/>
                    <w:spacing w:before="51"/>
                    <w:ind w:left="8" w:hanging="8"/>
                    <w:jc w:val="center"/>
                    <w:rPr>
                      <w:sz w:val="21"/>
                      <w:szCs w:val="21"/>
                    </w:rPr>
                  </w:pPr>
                  <w:r>
                    <w:rPr>
                      <w:sz w:val="21"/>
                      <w:szCs w:val="21"/>
                    </w:rPr>
                    <w:t>19.7m×10.3m×5.5m</w:t>
                  </w:r>
                </w:p>
              </w:tc>
              <w:tc>
                <w:tcPr>
                  <w:tcW w:w="874" w:type="dxa"/>
                  <w:vMerge w:val="continue"/>
                  <w:tcBorders>
                    <w:left w:val="single" w:color="auto"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697" w:type="dxa"/>
                  <w:vMerge w:val="continue"/>
                  <w:tcBorders>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874" w:type="dxa"/>
                  <w:vMerge w:val="continue"/>
                  <w:tcBorders>
                    <w:left w:val="single" w:color="000000" w:sz="4" w:space="0"/>
                    <w:right w:val="single" w:color="000000" w:sz="4" w:space="0"/>
                  </w:tcBorders>
                  <w:vAlign w:val="center"/>
                </w:tcPr>
                <w:p>
                  <w:pPr>
                    <w:kinsoku w:val="0"/>
                    <w:overflowPunct w:val="0"/>
                    <w:adjustRightInd w:val="0"/>
                    <w:snapToGrid w:val="0"/>
                    <w:spacing w:before="51"/>
                    <w:ind w:left="263"/>
                    <w:jc w:val="center"/>
                    <w:rPr>
                      <w:sz w:val="21"/>
                    </w:rPr>
                  </w:pPr>
                </w:p>
              </w:tc>
            </w:tr>
            <w:tr>
              <w:tblPrEx>
                <w:tblCellMar>
                  <w:top w:w="0" w:type="dxa"/>
                  <w:left w:w="0" w:type="dxa"/>
                  <w:bottom w:w="0" w:type="dxa"/>
                  <w:right w:w="0" w:type="dxa"/>
                </w:tblCellMar>
              </w:tblPrEx>
              <w:trPr>
                <w:trHeight w:val="233" w:hRule="atLeast"/>
              </w:trPr>
              <w:tc>
                <w:tcPr>
                  <w:tcW w:w="2683" w:type="dxa"/>
                  <w:tcBorders>
                    <w:top w:val="single" w:color="000000" w:sz="4" w:space="0"/>
                    <w:left w:val="single" w:color="000000" w:sz="4" w:space="0"/>
                    <w:bottom w:val="single" w:color="000000" w:sz="4" w:space="0"/>
                    <w:right w:val="single" w:color="auto" w:sz="4" w:space="0"/>
                  </w:tcBorders>
                  <w:vAlign w:val="center"/>
                </w:tcPr>
                <w:p>
                  <w:pPr>
                    <w:kinsoku w:val="0"/>
                    <w:overflowPunct w:val="0"/>
                    <w:adjustRightInd w:val="0"/>
                    <w:snapToGrid w:val="0"/>
                    <w:spacing w:before="51"/>
                    <w:ind w:left="8" w:hanging="8"/>
                    <w:jc w:val="center"/>
                    <w:rPr>
                      <w:sz w:val="21"/>
                      <w:szCs w:val="21"/>
                    </w:rPr>
                  </w:pPr>
                  <w:r>
                    <w:rPr>
                      <w:sz w:val="21"/>
                      <w:szCs w:val="21"/>
                    </w:rPr>
                    <w:t>细格栅渠</w:t>
                  </w:r>
                </w:p>
              </w:tc>
              <w:tc>
                <w:tcPr>
                  <w:tcW w:w="3473" w:type="dxa"/>
                  <w:tcBorders>
                    <w:top w:val="single" w:color="auto" w:sz="4" w:space="0"/>
                    <w:left w:val="single" w:color="auto" w:sz="4" w:space="0"/>
                    <w:bottom w:val="single" w:color="auto" w:sz="4" w:space="0"/>
                    <w:right w:val="single" w:color="auto" w:sz="4" w:space="0"/>
                  </w:tcBorders>
                </w:tcPr>
                <w:p>
                  <w:pPr>
                    <w:kinsoku w:val="0"/>
                    <w:overflowPunct w:val="0"/>
                    <w:adjustRightInd w:val="0"/>
                    <w:snapToGrid w:val="0"/>
                    <w:spacing w:before="51"/>
                    <w:ind w:left="8" w:hanging="8"/>
                    <w:jc w:val="center"/>
                    <w:rPr>
                      <w:sz w:val="21"/>
                      <w:szCs w:val="21"/>
                    </w:rPr>
                  </w:pPr>
                  <w:r>
                    <w:rPr>
                      <w:sz w:val="21"/>
                      <w:szCs w:val="21"/>
                    </w:rPr>
                    <w:t>8.00 m×2.30 m×1.55m</w:t>
                  </w:r>
                </w:p>
              </w:tc>
              <w:tc>
                <w:tcPr>
                  <w:tcW w:w="874" w:type="dxa"/>
                  <w:vMerge w:val="continue"/>
                  <w:tcBorders>
                    <w:left w:val="single" w:color="auto"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697" w:type="dxa"/>
                  <w:vMerge w:val="continue"/>
                  <w:tcBorders>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874" w:type="dxa"/>
                  <w:vMerge w:val="continue"/>
                  <w:tcBorders>
                    <w:left w:val="single" w:color="000000" w:sz="4" w:space="0"/>
                    <w:right w:val="single" w:color="000000" w:sz="4" w:space="0"/>
                  </w:tcBorders>
                  <w:vAlign w:val="center"/>
                </w:tcPr>
                <w:p>
                  <w:pPr>
                    <w:kinsoku w:val="0"/>
                    <w:overflowPunct w:val="0"/>
                    <w:adjustRightInd w:val="0"/>
                    <w:snapToGrid w:val="0"/>
                    <w:spacing w:before="51"/>
                    <w:ind w:left="100"/>
                    <w:jc w:val="center"/>
                    <w:rPr>
                      <w:sz w:val="21"/>
                    </w:rPr>
                  </w:pPr>
                </w:p>
              </w:tc>
            </w:tr>
            <w:tr>
              <w:tblPrEx>
                <w:tblCellMar>
                  <w:top w:w="0" w:type="dxa"/>
                  <w:left w:w="0" w:type="dxa"/>
                  <w:bottom w:w="0" w:type="dxa"/>
                  <w:right w:w="0" w:type="dxa"/>
                </w:tblCellMar>
              </w:tblPrEx>
              <w:trPr>
                <w:trHeight w:val="373" w:hRule="atLeast"/>
              </w:trPr>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厌氧选择池</w:t>
                  </w:r>
                </w:p>
              </w:tc>
              <w:tc>
                <w:tcPr>
                  <w:tcW w:w="3473" w:type="dxa"/>
                  <w:tcBorders>
                    <w:top w:val="single" w:color="auto"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7.2m×4.2m×5.0m</w:t>
                  </w:r>
                </w:p>
              </w:tc>
              <w:tc>
                <w:tcPr>
                  <w:tcW w:w="874" w:type="dxa"/>
                  <w:vMerge w:val="continue"/>
                  <w:tcBorders>
                    <w:left w:val="single" w:color="auto" w:sz="4" w:space="0"/>
                    <w:bottom w:val="single" w:color="000000" w:sz="4" w:space="0"/>
                    <w:right w:val="single" w:color="000000" w:sz="4" w:space="0"/>
                  </w:tcBorders>
                  <w:vAlign w:val="center"/>
                </w:tcPr>
                <w:p>
                  <w:pPr>
                    <w:kinsoku w:val="0"/>
                    <w:overflowPunct w:val="0"/>
                    <w:adjustRightInd w:val="0"/>
                    <w:snapToGrid w:val="0"/>
                    <w:spacing w:before="51"/>
                    <w:rPr>
                      <w:sz w:val="21"/>
                    </w:rPr>
                  </w:pPr>
                </w:p>
              </w:tc>
              <w:tc>
                <w:tcPr>
                  <w:tcW w:w="697" w:type="dxa"/>
                  <w:vMerge w:val="continue"/>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874" w:type="dxa"/>
                  <w:vMerge w:val="continue"/>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rFonts w:hint="eastAsia"/>
                      <w:sz w:val="21"/>
                      <w:szCs w:val="21"/>
                    </w:rPr>
                    <w:t>好氧池</w:t>
                  </w:r>
                </w:p>
              </w:tc>
              <w:tc>
                <w:tcPr>
                  <w:tcW w:w="3473" w:type="dxa"/>
                  <w:tcBorders>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27.4m×21.4m×3.9m</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沉淀池</w:t>
                  </w:r>
                </w:p>
              </w:tc>
              <w:tc>
                <w:tcPr>
                  <w:tcW w:w="3473" w:type="dxa"/>
                  <w:tcBorders>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27.4m×21.4m×3.9m</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接触消毒池</w:t>
                  </w:r>
                </w:p>
              </w:tc>
              <w:tc>
                <w:tcPr>
                  <w:tcW w:w="3473" w:type="dxa"/>
                  <w:tcBorders>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7 m×5.5m×4.5m</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污泥回收泵池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3.3 m×2.7m×4.5m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紫外消毒渠及出水计量渠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11 m×3.0 m×2.25m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钢</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座</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脱水机房及加药间</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22.8 m×7.2m×5.5m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3" w:hanging="12" w:hangingChars="6"/>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尾水及再生水泵房</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25.2 m×7.70m×8m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3" w:hanging="12" w:hangingChars="6"/>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贮泥池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5.2m×2.5m×3.7m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8" w:hanging="8"/>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综合楼及配电间</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1 层</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rPr>
                  </w:pPr>
                  <w:r>
                    <w:rPr>
                      <w:sz w:val="21"/>
                    </w:rPr>
                    <w:t>1</w:t>
                  </w:r>
                </w:p>
              </w:tc>
            </w:tr>
          </w:tbl>
          <w:p>
            <w:pPr>
              <w:adjustRightInd w:val="0"/>
              <w:snapToGrid w:val="0"/>
              <w:spacing w:beforeLines="50" w:line="360" w:lineRule="auto"/>
              <w:ind w:firstLine="422" w:firstLineChars="200"/>
              <w:jc w:val="center"/>
              <w:rPr>
                <w:b/>
                <w:bCs/>
                <w:szCs w:val="24"/>
                <w:lang w:bidi="zh-CN"/>
              </w:rPr>
            </w:pPr>
            <w:r>
              <w:rPr>
                <w:rFonts w:hAnsi="宋体"/>
                <w:b/>
                <w:sz w:val="21"/>
                <w:szCs w:val="21"/>
              </w:rPr>
              <w:t>表</w:t>
            </w:r>
            <w:r>
              <w:rPr>
                <w:rFonts w:hint="eastAsia"/>
                <w:b/>
                <w:sz w:val="21"/>
                <w:szCs w:val="21"/>
              </w:rPr>
              <w:t>1-4  牛街污水厂（一期）</w:t>
            </w:r>
            <w:r>
              <w:rPr>
                <w:rFonts w:hint="eastAsia" w:hAnsi="宋体"/>
                <w:b/>
                <w:sz w:val="21"/>
                <w:szCs w:val="21"/>
                <w:lang w:val="zh-CN" w:bidi="zh-CN"/>
              </w:rPr>
              <w:t>原有</w:t>
            </w:r>
            <w:r>
              <w:rPr>
                <w:rFonts w:hAnsi="宋体"/>
                <w:b/>
                <w:sz w:val="21"/>
                <w:szCs w:val="21"/>
                <w:lang w:val="zh-CN" w:bidi="zh-CN"/>
              </w:rPr>
              <w:t>主要构筑物一览表</w:t>
            </w:r>
          </w:p>
          <w:tbl>
            <w:tblPr>
              <w:tblStyle w:val="37"/>
              <w:tblW w:w="0" w:type="auto"/>
              <w:tblInd w:w="0" w:type="dxa"/>
              <w:tblLayout w:type="fixed"/>
              <w:tblCellMar>
                <w:top w:w="0" w:type="dxa"/>
                <w:left w:w="0" w:type="dxa"/>
                <w:bottom w:w="0" w:type="dxa"/>
                <w:right w:w="0" w:type="dxa"/>
              </w:tblCellMar>
            </w:tblPr>
            <w:tblGrid>
              <w:gridCol w:w="2153"/>
              <w:gridCol w:w="2816"/>
              <w:gridCol w:w="1174"/>
              <w:gridCol w:w="845"/>
              <w:gridCol w:w="757"/>
              <w:gridCol w:w="1094"/>
            </w:tblGrid>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13" w:hanging="13" w:hangingChars="6"/>
                    <w:jc w:val="center"/>
                    <w:rPr>
                      <w:b/>
                      <w:bCs/>
                      <w:sz w:val="21"/>
                    </w:rPr>
                  </w:pPr>
                  <w:r>
                    <w:rPr>
                      <w:b/>
                      <w:bCs/>
                      <w:sz w:val="21"/>
                    </w:rPr>
                    <w:t>工程内容</w:t>
                  </w:r>
                </w:p>
              </w:tc>
              <w:tc>
                <w:tcPr>
                  <w:tcW w:w="2816" w:type="dxa"/>
                  <w:tcBorders>
                    <w:top w:val="single" w:color="000000" w:sz="4" w:space="0"/>
                    <w:left w:val="single" w:color="000000" w:sz="4" w:space="0"/>
                    <w:bottom w:val="single" w:color="auto" w:sz="4" w:space="0"/>
                    <w:right w:val="single" w:color="000000" w:sz="4" w:space="0"/>
                  </w:tcBorders>
                  <w:vAlign w:val="center"/>
                </w:tcPr>
                <w:p>
                  <w:pPr>
                    <w:kinsoku w:val="0"/>
                    <w:overflowPunct w:val="0"/>
                    <w:spacing w:before="4"/>
                    <w:jc w:val="center"/>
                    <w:rPr>
                      <w:b/>
                      <w:bCs/>
                      <w:sz w:val="21"/>
                    </w:rPr>
                  </w:pPr>
                  <w:r>
                    <w:rPr>
                      <w:b/>
                      <w:bCs/>
                      <w:sz w:val="21"/>
                    </w:rPr>
                    <w:t>规格</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结构</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单位</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数量</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备注</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4"/>
                    <w:ind w:left="13" w:hanging="12" w:hangingChars="6"/>
                    <w:jc w:val="center"/>
                    <w:rPr>
                      <w:sz w:val="21"/>
                      <w:szCs w:val="21"/>
                    </w:rPr>
                  </w:pPr>
                  <w:r>
                    <w:rPr>
                      <w:sz w:val="21"/>
                    </w:rPr>
                    <w:t>综合处理池</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319"/>
                    <w:jc w:val="center"/>
                    <w:rPr>
                      <w:sz w:val="21"/>
                      <w:szCs w:val="24"/>
                    </w:rPr>
                  </w:pPr>
                  <w:r>
                    <w:rPr>
                      <w:sz w:val="21"/>
                      <w:szCs w:val="21"/>
                    </w:rPr>
                    <w:t>L×B×H=32.3×13.7×6m</w:t>
                  </w:r>
                </w:p>
              </w:tc>
              <w:tc>
                <w:tcPr>
                  <w:tcW w:w="1174" w:type="dxa"/>
                  <w:vMerge w:val="restart"/>
                  <w:tcBorders>
                    <w:top w:val="single" w:color="000000" w:sz="4" w:space="0"/>
                    <w:left w:val="single" w:color="auto"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vMerge w:val="restart"/>
                  <w:tcBorders>
                    <w:top w:val="single" w:color="000000" w:sz="4" w:space="0"/>
                    <w:left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vMerge w:val="restart"/>
                  <w:tcBorders>
                    <w:top w:val="single" w:color="000000" w:sz="4" w:space="0"/>
                    <w:left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1</w:t>
                  </w:r>
                </w:p>
              </w:tc>
              <w:tc>
                <w:tcPr>
                  <w:tcW w:w="1094" w:type="dxa"/>
                  <w:vMerge w:val="restart"/>
                  <w:tcBorders>
                    <w:top w:val="single" w:color="000000" w:sz="4" w:space="0"/>
                    <w:left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地埋式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4"/>
                    <w:ind w:left="13" w:hanging="12" w:hangingChars="6"/>
                    <w:jc w:val="center"/>
                    <w:rPr>
                      <w:sz w:val="21"/>
                      <w:szCs w:val="21"/>
                    </w:rPr>
                  </w:pPr>
                  <w:r>
                    <w:rPr>
                      <w:sz w:val="21"/>
                    </w:rPr>
                    <w:t>细格栅集水井</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263"/>
                    <w:jc w:val="center"/>
                    <w:rPr>
                      <w:sz w:val="21"/>
                      <w:szCs w:val="24"/>
                    </w:rPr>
                  </w:pPr>
                  <w:r>
                    <w:rPr>
                      <w:sz w:val="21"/>
                      <w:szCs w:val="21"/>
                    </w:rPr>
                    <w:t>1.6×1.45×4.75m</w:t>
                  </w:r>
                </w:p>
              </w:tc>
              <w:tc>
                <w:tcPr>
                  <w:tcW w:w="1174" w:type="dxa"/>
                  <w:vMerge w:val="continue"/>
                  <w:tcBorders>
                    <w:left w:val="single" w:color="auto" w:sz="4" w:space="0"/>
                    <w:right w:val="single" w:color="000000" w:sz="4" w:space="0"/>
                  </w:tcBorders>
                  <w:vAlign w:val="center"/>
                </w:tcPr>
                <w:p>
                  <w:pPr>
                    <w:kinsoku w:val="0"/>
                    <w:overflowPunct w:val="0"/>
                    <w:spacing w:before="51"/>
                    <w:ind w:left="17" w:hanging="16" w:hangingChars="8"/>
                    <w:jc w:val="center"/>
                    <w:rPr>
                      <w:sz w:val="21"/>
                    </w:rPr>
                  </w:pPr>
                </w:p>
              </w:tc>
              <w:tc>
                <w:tcPr>
                  <w:tcW w:w="845" w:type="dxa"/>
                  <w:vMerge w:val="continue"/>
                  <w:tcBorders>
                    <w:left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757" w:type="dxa"/>
                  <w:vMerge w:val="continue"/>
                  <w:tcBorders>
                    <w:left w:val="single" w:color="000000" w:sz="4" w:space="0"/>
                    <w:right w:val="single" w:color="000000" w:sz="4" w:space="0"/>
                  </w:tcBorders>
                  <w:vAlign w:val="center"/>
                </w:tcPr>
                <w:p>
                  <w:pPr>
                    <w:kinsoku w:val="0"/>
                    <w:overflowPunct w:val="0"/>
                    <w:spacing w:before="51"/>
                    <w:ind w:left="263"/>
                    <w:jc w:val="center"/>
                    <w:rPr>
                      <w:sz w:val="21"/>
                    </w:rPr>
                  </w:pPr>
                </w:p>
              </w:tc>
              <w:tc>
                <w:tcPr>
                  <w:tcW w:w="1094" w:type="dxa"/>
                  <w:vMerge w:val="continue"/>
                  <w:tcBorders>
                    <w:left w:val="single" w:color="000000" w:sz="4" w:space="0"/>
                    <w:right w:val="single" w:color="000000" w:sz="4" w:space="0"/>
                  </w:tcBorders>
                  <w:vAlign w:val="center"/>
                </w:tcPr>
                <w:p>
                  <w:pPr>
                    <w:kinsoku w:val="0"/>
                    <w:overflowPunct w:val="0"/>
                    <w:spacing w:before="4"/>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2"/>
                    <w:ind w:left="13" w:hanging="12" w:hangingChars="6"/>
                    <w:jc w:val="center"/>
                    <w:rPr>
                      <w:sz w:val="21"/>
                      <w:szCs w:val="21"/>
                    </w:rPr>
                  </w:pPr>
                  <w:r>
                    <w:rPr>
                      <w:sz w:val="21"/>
                      <w:szCs w:val="21"/>
                    </w:rPr>
                    <w:t>细格栅渠</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100"/>
                    <w:jc w:val="center"/>
                    <w:rPr>
                      <w:sz w:val="21"/>
                      <w:szCs w:val="24"/>
                    </w:rPr>
                  </w:pPr>
                  <w:r>
                    <w:rPr>
                      <w:sz w:val="21"/>
                      <w:szCs w:val="21"/>
                    </w:rPr>
                    <w:t>5.9×0.6×2.1m</w:t>
                  </w:r>
                </w:p>
              </w:tc>
              <w:tc>
                <w:tcPr>
                  <w:tcW w:w="1174" w:type="dxa"/>
                  <w:vMerge w:val="continue"/>
                  <w:tcBorders>
                    <w:left w:val="single" w:color="auto" w:sz="4" w:space="0"/>
                    <w:right w:val="single" w:color="000000" w:sz="4" w:space="0"/>
                  </w:tcBorders>
                  <w:vAlign w:val="center"/>
                </w:tcPr>
                <w:p>
                  <w:pPr>
                    <w:kinsoku w:val="0"/>
                    <w:overflowPunct w:val="0"/>
                    <w:spacing w:before="51"/>
                    <w:ind w:left="17" w:hanging="16" w:hangingChars="8"/>
                    <w:jc w:val="center"/>
                    <w:rPr>
                      <w:sz w:val="21"/>
                    </w:rPr>
                  </w:pPr>
                </w:p>
              </w:tc>
              <w:tc>
                <w:tcPr>
                  <w:tcW w:w="845" w:type="dxa"/>
                  <w:vMerge w:val="continue"/>
                  <w:tcBorders>
                    <w:left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757"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c>
                <w:tcPr>
                  <w:tcW w:w="1094" w:type="dxa"/>
                  <w:vMerge w:val="continue"/>
                  <w:tcBorders>
                    <w:left w:val="single" w:color="000000" w:sz="4" w:space="0"/>
                    <w:right w:val="single" w:color="000000" w:sz="4" w:space="0"/>
                  </w:tcBorders>
                  <w:vAlign w:val="center"/>
                </w:tcPr>
                <w:p>
                  <w:pPr>
                    <w:kinsoku w:val="0"/>
                    <w:overflowPunct w:val="0"/>
                    <w:spacing w:before="51"/>
                    <w:ind w:left="17" w:hanging="16" w:hangingChars="8"/>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2"/>
                    <w:ind w:left="13" w:hanging="12" w:hangingChars="6"/>
                    <w:jc w:val="center"/>
                    <w:rPr>
                      <w:sz w:val="21"/>
                      <w:szCs w:val="21"/>
                    </w:rPr>
                  </w:pPr>
                  <w:r>
                    <w:rPr>
                      <w:sz w:val="21"/>
                      <w:szCs w:val="21"/>
                    </w:rPr>
                    <w:t>沉沙池</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100"/>
                    <w:jc w:val="center"/>
                    <w:rPr>
                      <w:sz w:val="21"/>
                      <w:szCs w:val="24"/>
                    </w:rPr>
                  </w:pPr>
                  <w:r>
                    <w:rPr>
                      <w:sz w:val="21"/>
                      <w:szCs w:val="21"/>
                    </w:rPr>
                    <w:t>2.6×3.05×2m</w:t>
                  </w:r>
                </w:p>
              </w:tc>
              <w:tc>
                <w:tcPr>
                  <w:tcW w:w="1174" w:type="dxa"/>
                  <w:vMerge w:val="continue"/>
                  <w:tcBorders>
                    <w:left w:val="single" w:color="auto"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845" w:type="dxa"/>
                  <w:vMerge w:val="continue"/>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757" w:type="dxa"/>
                  <w:vMerge w:val="continue"/>
                  <w:tcBorders>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提升泵井</w:t>
                  </w:r>
                </w:p>
              </w:tc>
              <w:tc>
                <w:tcPr>
                  <w:tcW w:w="2816" w:type="dxa"/>
                  <w:tcBorders>
                    <w:top w:val="single" w:color="auto"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szCs w:val="24"/>
                    </w:rPr>
                  </w:pPr>
                  <w:r>
                    <w:rPr>
                      <w:sz w:val="21"/>
                      <w:szCs w:val="21"/>
                    </w:rPr>
                    <w:t>3.05×3×2m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调节池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11.4×4.5×5.85m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缺氧池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13×3.8×5.85m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厌氧池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11.4×2×5.85m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好氧池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13×4×5.85m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189"/>
                    <w:jc w:val="center"/>
                    <w:rPr>
                      <w:sz w:val="21"/>
                      <w:szCs w:val="21"/>
                    </w:rPr>
                  </w:pPr>
                  <w:r>
                    <w:rPr>
                      <w:sz w:val="21"/>
                      <w:szCs w:val="21"/>
                    </w:rPr>
                    <w:t>MBR膜池</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szCs w:val="24"/>
                    </w:rPr>
                  </w:pPr>
                  <w:r>
                    <w:rPr>
                      <w:sz w:val="21"/>
                      <w:szCs w:val="21"/>
                    </w:rPr>
                    <w:t>13×3×5.85m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4"/>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9" w:hanging="9"/>
                    <w:jc w:val="center"/>
                    <w:rPr>
                      <w:sz w:val="21"/>
                      <w:szCs w:val="21"/>
                    </w:rPr>
                  </w:pPr>
                  <w:r>
                    <w:rPr>
                      <w:sz w:val="21"/>
                      <w:szCs w:val="21"/>
                    </w:rPr>
                    <w:t>清水池</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szCs w:val="24"/>
                    </w:rPr>
                  </w:pPr>
                  <w:r>
                    <w:rPr>
                      <w:sz w:val="21"/>
                      <w:szCs w:val="21"/>
                    </w:rPr>
                    <w:t>5×2×5.85m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钢</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座</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4"/>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3" w:hanging="3"/>
                    <w:jc w:val="center"/>
                    <w:rPr>
                      <w:sz w:val="21"/>
                      <w:szCs w:val="21"/>
                    </w:rPr>
                  </w:pPr>
                  <w:r>
                    <w:rPr>
                      <w:sz w:val="21"/>
                      <w:szCs w:val="21"/>
                    </w:rPr>
                    <w:t>贮泥池</w:t>
                  </w:r>
                </w:p>
              </w:tc>
              <w:tc>
                <w:tcPr>
                  <w:tcW w:w="2816" w:type="dxa"/>
                  <w:tcBorders>
                    <w:top w:val="single" w:color="000000" w:sz="4" w:space="0"/>
                    <w:left w:val="single" w:color="000000" w:sz="4" w:space="0"/>
                    <w:bottom w:val="single" w:color="000000" w:sz="4" w:space="0"/>
                    <w:right w:val="single" w:color="000000" w:sz="4" w:space="0"/>
                  </w:tcBorders>
                  <w:vAlign w:val="center"/>
                </w:tcPr>
                <w:p>
                  <w:pPr>
                    <w:ind w:left="8" w:hanging="8"/>
                    <w:jc w:val="center"/>
                    <w:rPr>
                      <w:sz w:val="21"/>
                      <w:szCs w:val="24"/>
                    </w:rPr>
                  </w:pPr>
                  <w:r>
                    <w:rPr>
                      <w:sz w:val="21"/>
                      <w:szCs w:val="21"/>
                    </w:rPr>
                    <w:t>6.8×2×3.75m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3" w:hanging="12" w:hangingChars="6"/>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4"/>
                    <w:ind w:left="434"/>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323"/>
                    <w:jc w:val="center"/>
                    <w:rPr>
                      <w:sz w:val="21"/>
                      <w:szCs w:val="21"/>
                    </w:rPr>
                  </w:pPr>
                  <w:r>
                    <w:rPr>
                      <w:sz w:val="21"/>
                      <w:szCs w:val="21"/>
                    </w:rPr>
                    <w:t>MBR膜设备间</w:t>
                  </w:r>
                </w:p>
              </w:tc>
              <w:tc>
                <w:tcPr>
                  <w:tcW w:w="2816" w:type="dxa"/>
                  <w:tcBorders>
                    <w:top w:val="single" w:color="000000" w:sz="4" w:space="0"/>
                    <w:left w:val="single" w:color="000000" w:sz="4" w:space="0"/>
                    <w:bottom w:val="single" w:color="000000" w:sz="4" w:space="0"/>
                    <w:right w:val="single" w:color="000000" w:sz="4" w:space="0"/>
                  </w:tcBorders>
                  <w:vAlign w:val="center"/>
                </w:tcPr>
                <w:p>
                  <w:pPr>
                    <w:ind w:left="8" w:hanging="8"/>
                    <w:jc w:val="center"/>
                    <w:rPr>
                      <w:sz w:val="21"/>
                      <w:szCs w:val="24"/>
                    </w:rPr>
                  </w:pPr>
                  <w:r>
                    <w:rPr>
                      <w:sz w:val="21"/>
                      <w:szCs w:val="21"/>
                    </w:rPr>
                    <w:t>13×3×5.85m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3" w:hanging="12" w:hangingChars="6"/>
                    <w:jc w:val="center"/>
                    <w:rPr>
                      <w:sz w:val="21"/>
                    </w:rPr>
                  </w:pPr>
                  <w:r>
                    <w:rPr>
                      <w:sz w:val="21"/>
                    </w:rPr>
                    <w:t>1</w:t>
                  </w:r>
                </w:p>
              </w:tc>
              <w:tc>
                <w:tcPr>
                  <w:tcW w:w="1094" w:type="dxa"/>
                  <w:vMerge w:val="continue"/>
                  <w:tcBorders>
                    <w:left w:val="single" w:color="000000" w:sz="4" w:space="0"/>
                    <w:bottom w:val="single" w:color="000000" w:sz="4" w:space="0"/>
                    <w:right w:val="single" w:color="000000" w:sz="4" w:space="0"/>
                  </w:tcBorders>
                  <w:vAlign w:val="center"/>
                </w:tcPr>
                <w:p>
                  <w:pPr>
                    <w:kinsoku w:val="0"/>
                    <w:overflowPunct w:val="0"/>
                    <w:spacing w:before="54"/>
                    <w:ind w:left="434"/>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208"/>
                    <w:jc w:val="center"/>
                    <w:rPr>
                      <w:sz w:val="21"/>
                      <w:szCs w:val="21"/>
                    </w:rPr>
                  </w:pPr>
                  <w:r>
                    <w:rPr>
                      <w:sz w:val="21"/>
                      <w:szCs w:val="21"/>
                    </w:rPr>
                    <w:t>综合加药间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szCs w:val="24"/>
                    </w:rPr>
                  </w:pPr>
                  <w:r>
                    <w:rPr>
                      <w:sz w:val="21"/>
                      <w:szCs w:val="21"/>
                    </w:rPr>
                    <w:t>L×B×H=29.5×6.8×4.3m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center"/>
                    <w:rPr>
                      <w:color w:val="000000"/>
                      <w:sz w:val="21"/>
                      <w:szCs w:val="21"/>
                    </w:rPr>
                  </w:pPr>
                  <w:r>
                    <w:rPr>
                      <w:color w:val="000000"/>
                      <w:sz w:val="21"/>
                      <w:szCs w:val="21"/>
                    </w:rPr>
                    <w:t>药剂投加间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color w:val="000000"/>
                      <w:sz w:val="21"/>
                      <w:szCs w:val="24"/>
                    </w:rPr>
                  </w:pPr>
                  <w:r>
                    <w:rPr>
                      <w:sz w:val="21"/>
                      <w:szCs w:val="21"/>
                    </w:rPr>
                    <w:t>9×6.8×4.3m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color w:val="000000"/>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color w:val="000000"/>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color w:val="000000"/>
                      <w:sz w:val="21"/>
                    </w:rPr>
                  </w:pPr>
                  <w:r>
                    <w:rPr>
                      <w:color w:val="000000"/>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center"/>
                    <w:rPr>
                      <w:sz w:val="21"/>
                      <w:szCs w:val="21"/>
                    </w:rPr>
                  </w:pPr>
                  <w:r>
                    <w:rPr>
                      <w:sz w:val="21"/>
                      <w:szCs w:val="21"/>
                    </w:rPr>
                    <w:t>PLC室</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szCs w:val="21"/>
                    </w:rPr>
                    <w:t>4.5×3.4×4.3m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63"/>
                    <w:jc w:val="center"/>
                    <w:rPr>
                      <w:sz w:val="21"/>
                      <w:szCs w:val="21"/>
                    </w:rPr>
                  </w:pPr>
                  <w:r>
                    <w:rPr>
                      <w:sz w:val="21"/>
                      <w:szCs w:val="21"/>
                    </w:rPr>
                    <w:t>在线监测间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szCs w:val="21"/>
                    </w:rPr>
                    <w:t>6.8×4.5×4.3m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szCs w:val="21"/>
                    </w:rPr>
                  </w:pPr>
                  <w:r>
                    <w:rPr>
                      <w:sz w:val="21"/>
                      <w:szCs w:val="21"/>
                    </w:rPr>
                    <w:t>机修间及仓库</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szCs w:val="21"/>
                    </w:rPr>
                    <w:t>8×6.5×4.3m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szCs w:val="21"/>
                    </w:rPr>
                  </w:pPr>
                  <w:r>
                    <w:rPr>
                      <w:sz w:val="21"/>
                      <w:szCs w:val="21"/>
                    </w:rPr>
                    <w:t>配电间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color w:val="000000"/>
                      <w:sz w:val="21"/>
                      <w:szCs w:val="24"/>
                    </w:rPr>
                  </w:pPr>
                  <w:r>
                    <w:rPr>
                      <w:sz w:val="21"/>
                      <w:szCs w:val="21"/>
                    </w:rPr>
                    <w:t>7×6.8×4.3m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53"/>
                    <w:jc w:val="center"/>
                    <w:rPr>
                      <w:sz w:val="21"/>
                      <w:szCs w:val="21"/>
                    </w:rPr>
                  </w:pPr>
                  <w:r>
                    <w:rPr>
                      <w:sz w:val="21"/>
                      <w:szCs w:val="21"/>
                    </w:rPr>
                    <w:t>门卫值班室</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r>
                    <w:rPr>
                      <w:sz w:val="21"/>
                      <w:szCs w:val="21"/>
                    </w:rPr>
                    <w:t>5.5</w:t>
                  </w:r>
                  <w:r>
                    <w:rPr>
                      <w:sz w:val="21"/>
                    </w:rPr>
                    <w:t>m×3.4×4.3m,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color w:val="000000"/>
                      <w:sz w:val="21"/>
                      <w:szCs w:val="24"/>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53"/>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bl>
          <w:p>
            <w:pPr>
              <w:adjustRightInd w:val="0"/>
              <w:snapToGrid w:val="0"/>
              <w:spacing w:beforeLines="50" w:line="360" w:lineRule="auto"/>
              <w:ind w:firstLine="482" w:firstLineChars="200"/>
              <w:rPr>
                <w:b/>
                <w:bCs/>
                <w:szCs w:val="24"/>
                <w:lang w:bidi="zh-CN"/>
              </w:rPr>
            </w:pPr>
            <w:r>
              <w:rPr>
                <w:rFonts w:hint="eastAsia"/>
                <w:b/>
                <w:bCs/>
                <w:szCs w:val="24"/>
                <w:lang w:bidi="zh-CN"/>
              </w:rPr>
              <w:t>（4）处理工艺</w:t>
            </w:r>
          </w:p>
          <w:p>
            <w:pPr>
              <w:tabs>
                <w:tab w:val="left" w:pos="417"/>
                <w:tab w:val="left" w:pos="3615"/>
              </w:tabs>
              <w:adjustRightInd w:val="0"/>
              <w:snapToGrid w:val="0"/>
              <w:spacing w:line="360" w:lineRule="auto"/>
              <w:ind w:firstLine="480" w:firstLineChars="200"/>
              <w:rPr>
                <w:szCs w:val="24"/>
              </w:rPr>
            </w:pPr>
            <w:r>
              <w:rPr>
                <w:rFonts w:hint="eastAsia"/>
                <w:szCs w:val="24"/>
              </w:rPr>
              <w:t>①邓川污水处理厂</w:t>
            </w:r>
          </w:p>
          <w:p>
            <w:pPr>
              <w:tabs>
                <w:tab w:val="left" w:pos="417"/>
                <w:tab w:val="left" w:pos="3615"/>
              </w:tabs>
              <w:adjustRightInd w:val="0"/>
              <w:snapToGrid w:val="0"/>
              <w:spacing w:line="360" w:lineRule="auto"/>
              <w:ind w:firstLine="480" w:firstLineChars="200"/>
              <w:rPr>
                <w:szCs w:val="24"/>
              </w:rPr>
            </w:pPr>
            <w:r>
              <w:rPr>
                <w:rFonts w:hint="eastAsia"/>
                <w:color w:val="FF0000"/>
                <w:szCs w:val="24"/>
              </w:rPr>
              <w:t>邓川污水处理厂采用“氧化沟+人工湿地”处理工艺，污水经收集管网自流进入格栅，经提升泵进入调节池进行均质，再经厌氧+好氧+沉淀处理，出水达到一级A标后进入人工湿地。</w:t>
            </w:r>
            <w:r>
              <w:rPr>
                <w:rFonts w:hint="eastAsia"/>
                <w:szCs w:val="24"/>
              </w:rPr>
              <w:t>污水处理工艺流程图如下：</w:t>
            </w:r>
          </w:p>
          <w:p>
            <w:pPr>
              <w:pStyle w:val="76"/>
              <w:rPr>
                <w:rFonts w:ascii="Times New Roman" w:hAnsi="Times New Roman"/>
                <w:color w:val="auto"/>
                <w:sz w:val="24"/>
                <w:szCs w:val="24"/>
              </w:rPr>
            </w:pPr>
            <w:r>
              <w:drawing>
                <wp:inline distT="0" distB="0" distL="0" distR="0">
                  <wp:extent cx="5457825" cy="1238250"/>
                  <wp:effectExtent l="19050" t="0" r="9525"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noChangeArrowheads="1"/>
                          </pic:cNvPicPr>
                        </pic:nvPicPr>
                        <pic:blipFill>
                          <a:blip r:embed="rId16" cstate="print"/>
                          <a:srcRect/>
                          <a:stretch>
                            <a:fillRect/>
                          </a:stretch>
                        </pic:blipFill>
                        <pic:spPr>
                          <a:xfrm>
                            <a:off x="0" y="0"/>
                            <a:ext cx="5457825" cy="1238250"/>
                          </a:xfrm>
                          <a:prstGeom prst="rect">
                            <a:avLst/>
                          </a:prstGeom>
                          <a:noFill/>
                          <a:ln w="9525">
                            <a:noFill/>
                            <a:miter lim="800000"/>
                            <a:headEnd/>
                            <a:tailEnd/>
                          </a:ln>
                        </pic:spPr>
                      </pic:pic>
                    </a:graphicData>
                  </a:graphic>
                </wp:inline>
              </w:drawing>
            </w:r>
          </w:p>
          <w:p>
            <w:pPr>
              <w:tabs>
                <w:tab w:val="left" w:pos="417"/>
                <w:tab w:val="left" w:pos="3615"/>
              </w:tabs>
              <w:adjustRightInd w:val="0"/>
              <w:snapToGrid w:val="0"/>
              <w:spacing w:beforeLines="50" w:afterLines="50" w:line="360" w:lineRule="auto"/>
              <w:jc w:val="center"/>
              <w:rPr>
                <w:b/>
                <w:bCs/>
                <w:sz w:val="21"/>
                <w:szCs w:val="21"/>
              </w:rPr>
            </w:pPr>
            <w:r>
              <w:rPr>
                <w:rFonts w:hint="eastAsia"/>
                <w:b/>
                <w:bCs/>
                <w:sz w:val="21"/>
                <w:szCs w:val="21"/>
              </w:rPr>
              <w:t>图1-1 邓川污水处理厂原有工艺流程图</w:t>
            </w:r>
          </w:p>
          <w:p>
            <w:pPr>
              <w:tabs>
                <w:tab w:val="left" w:pos="417"/>
                <w:tab w:val="left" w:pos="3615"/>
              </w:tabs>
              <w:adjustRightInd w:val="0"/>
              <w:snapToGrid w:val="0"/>
              <w:spacing w:line="360" w:lineRule="auto"/>
              <w:ind w:firstLine="480" w:firstLineChars="200"/>
              <w:rPr>
                <w:szCs w:val="24"/>
              </w:rPr>
            </w:pPr>
            <w:r>
              <w:rPr>
                <w:rFonts w:hint="eastAsia"/>
                <w:szCs w:val="24"/>
              </w:rPr>
              <w:t>②右所污水处理厂</w:t>
            </w:r>
          </w:p>
          <w:p>
            <w:pPr>
              <w:tabs>
                <w:tab w:val="left" w:pos="417"/>
                <w:tab w:val="left" w:pos="3615"/>
              </w:tabs>
              <w:adjustRightInd w:val="0"/>
              <w:snapToGrid w:val="0"/>
              <w:spacing w:line="360" w:lineRule="auto"/>
              <w:ind w:firstLine="480" w:firstLineChars="200"/>
              <w:rPr>
                <w:szCs w:val="24"/>
              </w:rPr>
            </w:pPr>
            <w:r>
              <w:rPr>
                <w:rFonts w:hint="eastAsia"/>
                <w:szCs w:val="24"/>
              </w:rPr>
              <w:t>右所污水处理厂采用“硅藻精土处理工艺”处理，污水经收集管网自流进入格栅，经提升泵进入调节池进行均质，再经“硅藻精土处理工艺”处理。污水处理工艺流程图如下：</w:t>
            </w:r>
          </w:p>
          <w:p>
            <w:pPr>
              <w:tabs>
                <w:tab w:val="left" w:pos="417"/>
                <w:tab w:val="left" w:pos="3615"/>
              </w:tabs>
              <w:adjustRightInd w:val="0"/>
              <w:snapToGrid w:val="0"/>
              <w:spacing w:line="360" w:lineRule="auto"/>
              <w:jc w:val="left"/>
              <w:rPr>
                <w:szCs w:val="24"/>
              </w:rPr>
            </w:pPr>
            <w:r>
              <w:drawing>
                <wp:inline distT="0" distB="0" distL="0" distR="0">
                  <wp:extent cx="5457825" cy="1400175"/>
                  <wp:effectExtent l="19050" t="0" r="9525"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noChangeArrowheads="1"/>
                          </pic:cNvPicPr>
                        </pic:nvPicPr>
                        <pic:blipFill>
                          <a:blip r:embed="rId17" cstate="print"/>
                          <a:srcRect/>
                          <a:stretch>
                            <a:fillRect/>
                          </a:stretch>
                        </pic:blipFill>
                        <pic:spPr>
                          <a:xfrm>
                            <a:off x="0" y="0"/>
                            <a:ext cx="5457825" cy="1400175"/>
                          </a:xfrm>
                          <a:prstGeom prst="rect">
                            <a:avLst/>
                          </a:prstGeom>
                          <a:noFill/>
                          <a:ln w="9525">
                            <a:noFill/>
                            <a:miter lim="800000"/>
                            <a:headEnd/>
                            <a:tailEnd/>
                          </a:ln>
                        </pic:spPr>
                      </pic:pic>
                    </a:graphicData>
                  </a:graphic>
                </wp:inline>
              </w:drawing>
            </w:r>
          </w:p>
          <w:p>
            <w:pPr>
              <w:tabs>
                <w:tab w:val="left" w:pos="417"/>
                <w:tab w:val="left" w:pos="3615"/>
              </w:tabs>
              <w:adjustRightInd w:val="0"/>
              <w:snapToGrid w:val="0"/>
              <w:spacing w:beforeLines="50" w:afterLines="50" w:line="360" w:lineRule="auto"/>
              <w:jc w:val="center"/>
              <w:rPr>
                <w:b/>
                <w:bCs/>
                <w:sz w:val="21"/>
                <w:szCs w:val="21"/>
              </w:rPr>
            </w:pPr>
            <w:r>
              <w:rPr>
                <w:rFonts w:hint="eastAsia"/>
                <w:b/>
                <w:bCs/>
                <w:sz w:val="21"/>
                <w:szCs w:val="21"/>
              </w:rPr>
              <w:t>图1-2  右所污水处理厂原有工艺流程图</w:t>
            </w:r>
          </w:p>
          <w:p>
            <w:pPr>
              <w:tabs>
                <w:tab w:val="left" w:pos="417"/>
                <w:tab w:val="left" w:pos="3615"/>
              </w:tabs>
              <w:adjustRightInd w:val="0"/>
              <w:snapToGrid w:val="0"/>
              <w:spacing w:line="360" w:lineRule="auto"/>
              <w:ind w:firstLine="480" w:firstLineChars="200"/>
              <w:rPr>
                <w:szCs w:val="24"/>
              </w:rPr>
            </w:pPr>
            <w:r>
              <w:rPr>
                <w:rFonts w:hint="eastAsia"/>
                <w:szCs w:val="24"/>
              </w:rPr>
              <w:t>③牛街污水处理厂</w:t>
            </w:r>
          </w:p>
          <w:p>
            <w:pPr>
              <w:adjustRightInd w:val="0"/>
              <w:snapToGrid w:val="0"/>
              <w:spacing w:line="360" w:lineRule="auto"/>
              <w:ind w:firstLine="480" w:firstLineChars="200"/>
              <w:rPr>
                <w:rFonts w:ascii="宋体" w:hAnsi="宋体"/>
                <w:szCs w:val="24"/>
              </w:rPr>
            </w:pPr>
            <w:r>
              <w:rPr>
                <w:rFonts w:hint="eastAsia" w:ascii="宋体" w:hAnsi="宋体"/>
                <w:szCs w:val="24"/>
              </w:rPr>
              <w:t>牛街污水处理厂包括老厂和新厂一期，均位于</w:t>
            </w:r>
            <w:r>
              <w:rPr>
                <w:rFonts w:hint="eastAsia"/>
                <w:szCs w:val="24"/>
              </w:rPr>
              <w:t>牛街乡牛街村委会，</w:t>
            </w:r>
            <w:r>
              <w:rPr>
                <w:rFonts w:hint="eastAsia" w:ascii="宋体" w:hAnsi="宋体"/>
                <w:szCs w:val="24"/>
              </w:rPr>
              <w:t>目前老厂已经不在使用，</w:t>
            </w:r>
            <w:r>
              <w:rPr>
                <w:rFonts w:ascii="宋体" w:hAnsi="宋体"/>
                <w:szCs w:val="24"/>
              </w:rPr>
              <w:t>作为应急处理设施和三期预留用地</w:t>
            </w:r>
            <w:r>
              <w:rPr>
                <w:rFonts w:hint="eastAsia" w:ascii="宋体" w:hAnsi="宋体"/>
                <w:szCs w:val="24"/>
              </w:rPr>
              <w:t>。</w:t>
            </w:r>
          </w:p>
          <w:p>
            <w:pPr>
              <w:tabs>
                <w:tab w:val="left" w:pos="417"/>
                <w:tab w:val="left" w:pos="3615"/>
              </w:tabs>
              <w:adjustRightInd w:val="0"/>
              <w:snapToGrid w:val="0"/>
              <w:spacing w:line="360" w:lineRule="auto"/>
              <w:ind w:firstLine="480" w:firstLineChars="200"/>
              <w:rPr>
                <w:szCs w:val="24"/>
              </w:rPr>
            </w:pPr>
            <w:r>
              <w:rPr>
                <w:rFonts w:hint="eastAsia"/>
                <w:szCs w:val="24"/>
              </w:rPr>
              <w:t>牛街污水处理厂（新厂一期）采用“A</w:t>
            </w:r>
            <w:r>
              <w:rPr>
                <w:rFonts w:hint="eastAsia"/>
                <w:szCs w:val="24"/>
                <w:vertAlign w:val="superscript"/>
              </w:rPr>
              <w:t>2</w:t>
            </w:r>
            <w:r>
              <w:rPr>
                <w:rFonts w:hint="eastAsia"/>
                <w:szCs w:val="24"/>
              </w:rPr>
              <w:t>O+MBR工艺”，污水经收集管网自流进入格栅，经提升泵进入调节池进行均质，再经提升泵进入生化池，在微生物的作用下去除有机物，再经过MBR产水泵出水，最终达标排放。</w:t>
            </w:r>
          </w:p>
          <w:p>
            <w:pPr>
              <w:adjustRightInd w:val="0"/>
              <w:snapToGrid w:val="0"/>
              <w:spacing w:line="360" w:lineRule="auto"/>
              <w:jc w:val="center"/>
              <w:rPr>
                <w:szCs w:val="24"/>
              </w:rPr>
            </w:pPr>
            <w:r>
              <w:drawing>
                <wp:inline distT="0" distB="0" distL="0" distR="0">
                  <wp:extent cx="5172075" cy="1495425"/>
                  <wp:effectExtent l="1905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8" cstate="print"/>
                          <a:srcRect/>
                          <a:stretch>
                            <a:fillRect/>
                          </a:stretch>
                        </pic:blipFill>
                        <pic:spPr>
                          <a:xfrm>
                            <a:off x="0" y="0"/>
                            <a:ext cx="5172075" cy="1495425"/>
                          </a:xfrm>
                          <a:prstGeom prst="rect">
                            <a:avLst/>
                          </a:prstGeom>
                          <a:noFill/>
                          <a:ln w="9525">
                            <a:noFill/>
                            <a:miter lim="800000"/>
                            <a:headEnd/>
                            <a:tailEnd/>
                          </a:ln>
                          <a:effectLst/>
                        </pic:spPr>
                      </pic:pic>
                    </a:graphicData>
                  </a:graphic>
                </wp:inline>
              </w:drawing>
            </w:r>
          </w:p>
          <w:p>
            <w:pPr>
              <w:tabs>
                <w:tab w:val="left" w:pos="417"/>
                <w:tab w:val="left" w:pos="3615"/>
              </w:tabs>
              <w:adjustRightInd w:val="0"/>
              <w:snapToGrid w:val="0"/>
              <w:spacing w:beforeLines="50" w:afterLines="50" w:line="360" w:lineRule="auto"/>
              <w:jc w:val="center"/>
            </w:pPr>
            <w:r>
              <w:rPr>
                <w:rFonts w:hint="eastAsia"/>
                <w:b/>
                <w:bCs/>
                <w:sz w:val="21"/>
                <w:szCs w:val="21"/>
              </w:rPr>
              <w:t>图1-3  牛街污水处理厂（新厂一期）原有工艺流程图</w:t>
            </w:r>
          </w:p>
          <w:p>
            <w:pPr>
              <w:adjustRightInd w:val="0"/>
              <w:snapToGrid w:val="0"/>
              <w:spacing w:line="360" w:lineRule="auto"/>
              <w:ind w:firstLine="480" w:firstLineChars="200"/>
              <w:rPr>
                <w:rFonts w:hAnsi="宋体"/>
                <w:szCs w:val="24"/>
                <w:lang w:val="zh-CN"/>
              </w:rPr>
            </w:pPr>
            <w:r>
              <w:rPr>
                <w:rFonts w:hint="eastAsia"/>
                <w:szCs w:val="24"/>
              </w:rPr>
              <w:t>三座污水处理厂处理规模及工艺概况详见下表：</w:t>
            </w:r>
          </w:p>
          <w:p>
            <w:pPr>
              <w:tabs>
                <w:tab w:val="left" w:pos="417"/>
                <w:tab w:val="left" w:pos="3615"/>
              </w:tabs>
              <w:adjustRightInd w:val="0"/>
              <w:snapToGrid w:val="0"/>
              <w:spacing w:line="360" w:lineRule="auto"/>
              <w:jc w:val="center"/>
              <w:rPr>
                <w:b/>
                <w:bCs/>
                <w:sz w:val="21"/>
                <w:szCs w:val="18"/>
              </w:rPr>
            </w:pPr>
            <w:r>
              <w:rPr>
                <w:rFonts w:hint="eastAsia"/>
                <w:b/>
                <w:bCs/>
                <w:sz w:val="21"/>
                <w:szCs w:val="18"/>
              </w:rPr>
              <w:t>表1-5  现状污水处理厂处理规模和处理工艺</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988"/>
              <w:gridCol w:w="1162"/>
              <w:gridCol w:w="4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8" w:type="dxa"/>
                  <w:vAlign w:val="center"/>
                </w:tcPr>
                <w:p>
                  <w:pPr>
                    <w:jc w:val="center"/>
                    <w:rPr>
                      <w:b/>
                      <w:bCs/>
                      <w:kern w:val="0"/>
                      <w:sz w:val="21"/>
                      <w:szCs w:val="21"/>
                    </w:rPr>
                  </w:pPr>
                  <w:r>
                    <w:rPr>
                      <w:b/>
                      <w:bCs/>
                      <w:kern w:val="0"/>
                      <w:sz w:val="21"/>
                      <w:szCs w:val="21"/>
                    </w:rPr>
                    <w:t>名称</w:t>
                  </w:r>
                </w:p>
              </w:tc>
              <w:tc>
                <w:tcPr>
                  <w:tcW w:w="988" w:type="dxa"/>
                  <w:vAlign w:val="center"/>
                </w:tcPr>
                <w:p>
                  <w:pPr>
                    <w:jc w:val="center"/>
                    <w:rPr>
                      <w:b/>
                      <w:bCs/>
                      <w:kern w:val="0"/>
                      <w:sz w:val="21"/>
                      <w:szCs w:val="21"/>
                    </w:rPr>
                  </w:pPr>
                  <w:r>
                    <w:rPr>
                      <w:b/>
                      <w:bCs/>
                      <w:kern w:val="0"/>
                      <w:sz w:val="21"/>
                      <w:szCs w:val="21"/>
                    </w:rPr>
                    <w:t>设计规模m</w:t>
                  </w:r>
                  <w:r>
                    <w:rPr>
                      <w:b/>
                      <w:bCs/>
                      <w:kern w:val="0"/>
                      <w:sz w:val="21"/>
                      <w:szCs w:val="21"/>
                      <w:vertAlign w:val="superscript"/>
                    </w:rPr>
                    <w:t>3</w:t>
                  </w:r>
                  <w:r>
                    <w:rPr>
                      <w:b/>
                      <w:bCs/>
                      <w:kern w:val="0"/>
                      <w:sz w:val="21"/>
                      <w:szCs w:val="21"/>
                    </w:rPr>
                    <w:t>/d</w:t>
                  </w:r>
                </w:p>
              </w:tc>
              <w:tc>
                <w:tcPr>
                  <w:tcW w:w="1162" w:type="dxa"/>
                  <w:vAlign w:val="center"/>
                </w:tcPr>
                <w:p>
                  <w:pPr>
                    <w:jc w:val="center"/>
                    <w:rPr>
                      <w:b/>
                      <w:bCs/>
                      <w:kern w:val="0"/>
                      <w:sz w:val="21"/>
                      <w:szCs w:val="21"/>
                    </w:rPr>
                  </w:pPr>
                  <w:r>
                    <w:rPr>
                      <w:b/>
                      <w:bCs/>
                      <w:kern w:val="0"/>
                      <w:sz w:val="21"/>
                      <w:szCs w:val="21"/>
                    </w:rPr>
                    <w:t>处理工艺</w:t>
                  </w:r>
                </w:p>
              </w:tc>
              <w:tc>
                <w:tcPr>
                  <w:tcW w:w="4721" w:type="dxa"/>
                  <w:vAlign w:val="center"/>
                </w:tcPr>
                <w:p>
                  <w:pPr>
                    <w:jc w:val="center"/>
                    <w:rPr>
                      <w:b/>
                      <w:bCs/>
                      <w:kern w:val="0"/>
                      <w:sz w:val="21"/>
                      <w:szCs w:val="21"/>
                    </w:rPr>
                  </w:pPr>
                  <w:r>
                    <w:rPr>
                      <w:b/>
                      <w:bCs/>
                      <w:kern w:val="0"/>
                      <w:sz w:val="21"/>
                      <w:szCs w:val="21"/>
                    </w:rPr>
                    <w:t>处理范围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18" w:type="dxa"/>
                  <w:vAlign w:val="center"/>
                </w:tcPr>
                <w:p>
                  <w:pPr>
                    <w:jc w:val="center"/>
                    <w:rPr>
                      <w:kern w:val="0"/>
                      <w:sz w:val="21"/>
                      <w:szCs w:val="21"/>
                    </w:rPr>
                  </w:pPr>
                  <w:r>
                    <w:rPr>
                      <w:kern w:val="0"/>
                      <w:sz w:val="21"/>
                      <w:szCs w:val="21"/>
                    </w:rPr>
                    <w:t>邓川污水处理厂</w:t>
                  </w:r>
                </w:p>
              </w:tc>
              <w:tc>
                <w:tcPr>
                  <w:tcW w:w="988" w:type="dxa"/>
                  <w:vAlign w:val="center"/>
                </w:tcPr>
                <w:p>
                  <w:pPr>
                    <w:jc w:val="center"/>
                    <w:rPr>
                      <w:kern w:val="0"/>
                      <w:sz w:val="21"/>
                      <w:szCs w:val="21"/>
                    </w:rPr>
                  </w:pPr>
                  <w:r>
                    <w:rPr>
                      <w:kern w:val="0"/>
                      <w:sz w:val="21"/>
                      <w:szCs w:val="21"/>
                    </w:rPr>
                    <w:t>2000</w:t>
                  </w:r>
                </w:p>
              </w:tc>
              <w:tc>
                <w:tcPr>
                  <w:tcW w:w="1162" w:type="dxa"/>
                  <w:vAlign w:val="center"/>
                </w:tcPr>
                <w:p>
                  <w:pPr>
                    <w:jc w:val="center"/>
                    <w:rPr>
                      <w:kern w:val="0"/>
                      <w:sz w:val="21"/>
                      <w:szCs w:val="21"/>
                    </w:rPr>
                  </w:pPr>
                  <w:r>
                    <w:rPr>
                      <w:kern w:val="0"/>
                      <w:sz w:val="21"/>
                      <w:szCs w:val="21"/>
                    </w:rPr>
                    <w:t>氧化沟+人工湿地</w:t>
                  </w:r>
                </w:p>
              </w:tc>
              <w:tc>
                <w:tcPr>
                  <w:tcW w:w="4721" w:type="dxa"/>
                  <w:vAlign w:val="center"/>
                </w:tcPr>
                <w:p>
                  <w:pPr>
                    <w:jc w:val="left"/>
                    <w:rPr>
                      <w:kern w:val="0"/>
                      <w:sz w:val="21"/>
                      <w:szCs w:val="21"/>
                    </w:rPr>
                  </w:pPr>
                  <w:r>
                    <w:rPr>
                      <w:kern w:val="0"/>
                      <w:sz w:val="21"/>
                      <w:szCs w:val="21"/>
                    </w:rPr>
                    <w:t>南天神、晓阳、杜家营、西河梗、杨家营、张家营、汪家营、高家营、清水沟、上巷、小江、三南、三北、三西、莲荷、魏军屯、右所镇区（部分）、邓川镇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8" w:type="dxa"/>
                  <w:vAlign w:val="center"/>
                </w:tcPr>
                <w:p>
                  <w:pPr>
                    <w:jc w:val="center"/>
                    <w:rPr>
                      <w:kern w:val="0"/>
                      <w:sz w:val="21"/>
                      <w:szCs w:val="21"/>
                    </w:rPr>
                  </w:pPr>
                  <w:r>
                    <w:rPr>
                      <w:kern w:val="0"/>
                      <w:sz w:val="21"/>
                      <w:szCs w:val="21"/>
                    </w:rPr>
                    <w:t>右所污水处理厂</w:t>
                  </w:r>
                </w:p>
              </w:tc>
              <w:tc>
                <w:tcPr>
                  <w:tcW w:w="988" w:type="dxa"/>
                  <w:vAlign w:val="center"/>
                </w:tcPr>
                <w:p>
                  <w:pPr>
                    <w:jc w:val="center"/>
                    <w:rPr>
                      <w:kern w:val="0"/>
                      <w:sz w:val="21"/>
                      <w:szCs w:val="21"/>
                    </w:rPr>
                  </w:pPr>
                  <w:r>
                    <w:rPr>
                      <w:kern w:val="0"/>
                      <w:sz w:val="21"/>
                      <w:szCs w:val="21"/>
                    </w:rPr>
                    <w:t>1000</w:t>
                  </w:r>
                </w:p>
              </w:tc>
              <w:tc>
                <w:tcPr>
                  <w:tcW w:w="1162" w:type="dxa"/>
                  <w:vAlign w:val="center"/>
                </w:tcPr>
                <w:p>
                  <w:pPr>
                    <w:jc w:val="center"/>
                    <w:rPr>
                      <w:kern w:val="0"/>
                      <w:sz w:val="21"/>
                      <w:szCs w:val="21"/>
                    </w:rPr>
                  </w:pPr>
                  <w:r>
                    <w:rPr>
                      <w:kern w:val="0"/>
                      <w:sz w:val="21"/>
                      <w:szCs w:val="21"/>
                    </w:rPr>
                    <w:t>硅藻土</w:t>
                  </w:r>
                </w:p>
              </w:tc>
              <w:tc>
                <w:tcPr>
                  <w:tcW w:w="4721" w:type="dxa"/>
                  <w:vAlign w:val="center"/>
                </w:tcPr>
                <w:p>
                  <w:pPr>
                    <w:jc w:val="center"/>
                    <w:rPr>
                      <w:kern w:val="0"/>
                      <w:sz w:val="21"/>
                      <w:szCs w:val="21"/>
                    </w:rPr>
                  </w:pPr>
                  <w:r>
                    <w:rPr>
                      <w:kern w:val="0"/>
                      <w:sz w:val="21"/>
                      <w:szCs w:val="21"/>
                    </w:rPr>
                    <w:t>样楠、跃进、左所、沙沟、三家、右所、银后、李家营、后甸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18" w:type="dxa"/>
                  <w:vAlign w:val="center"/>
                </w:tcPr>
                <w:p>
                  <w:pPr>
                    <w:jc w:val="center"/>
                    <w:rPr>
                      <w:kern w:val="0"/>
                      <w:sz w:val="21"/>
                      <w:szCs w:val="21"/>
                    </w:rPr>
                  </w:pPr>
                  <w:r>
                    <w:rPr>
                      <w:kern w:val="0"/>
                      <w:sz w:val="21"/>
                      <w:szCs w:val="21"/>
                    </w:rPr>
                    <w:t>牛街污水处理厂（新厂一期）</w:t>
                  </w:r>
                </w:p>
              </w:tc>
              <w:tc>
                <w:tcPr>
                  <w:tcW w:w="988" w:type="dxa"/>
                  <w:vAlign w:val="center"/>
                </w:tcPr>
                <w:p>
                  <w:pPr>
                    <w:jc w:val="center"/>
                    <w:rPr>
                      <w:kern w:val="0"/>
                      <w:sz w:val="21"/>
                      <w:szCs w:val="21"/>
                    </w:rPr>
                  </w:pPr>
                  <w:r>
                    <w:rPr>
                      <w:kern w:val="0"/>
                      <w:sz w:val="21"/>
                      <w:szCs w:val="21"/>
                    </w:rPr>
                    <w:t>1000</w:t>
                  </w:r>
                </w:p>
              </w:tc>
              <w:tc>
                <w:tcPr>
                  <w:tcW w:w="1162" w:type="dxa"/>
                  <w:vAlign w:val="center"/>
                </w:tcPr>
                <w:p>
                  <w:pPr>
                    <w:jc w:val="center"/>
                    <w:rPr>
                      <w:kern w:val="0"/>
                      <w:sz w:val="21"/>
                      <w:szCs w:val="21"/>
                    </w:rPr>
                  </w:pPr>
                  <w:r>
                    <w:rPr>
                      <w:kern w:val="0"/>
                      <w:sz w:val="21"/>
                      <w:szCs w:val="21"/>
                    </w:rPr>
                    <w:t>A</w:t>
                  </w:r>
                  <w:r>
                    <w:rPr>
                      <w:kern w:val="0"/>
                      <w:sz w:val="21"/>
                      <w:szCs w:val="21"/>
                      <w:vertAlign w:val="superscript"/>
                    </w:rPr>
                    <w:t>2</w:t>
                  </w:r>
                  <w:r>
                    <w:rPr>
                      <w:kern w:val="0"/>
                      <w:sz w:val="21"/>
                      <w:szCs w:val="21"/>
                    </w:rPr>
                    <w:t>O+MBR</w:t>
                  </w:r>
                </w:p>
              </w:tc>
              <w:tc>
                <w:tcPr>
                  <w:tcW w:w="4721" w:type="dxa"/>
                  <w:vAlign w:val="center"/>
                </w:tcPr>
                <w:p>
                  <w:pPr>
                    <w:rPr>
                      <w:kern w:val="0"/>
                      <w:sz w:val="21"/>
                      <w:szCs w:val="21"/>
                    </w:rPr>
                  </w:pPr>
                  <w:r>
                    <w:rPr>
                      <w:kern w:val="0"/>
                      <w:sz w:val="21"/>
                      <w:szCs w:val="21"/>
                    </w:rPr>
                    <w:t>东排、太平、下邑、龙马洞、上邑、北登、中登、南登、炼渡、文登、石碑、沙坎街</w:t>
                  </w:r>
                </w:p>
              </w:tc>
            </w:tr>
          </w:tbl>
          <w:p>
            <w:pPr>
              <w:pStyle w:val="23"/>
            </w:pPr>
          </w:p>
          <w:p>
            <w:pPr>
              <w:adjustRightInd w:val="0"/>
              <w:snapToGrid w:val="0"/>
              <w:spacing w:line="360" w:lineRule="auto"/>
              <w:ind w:firstLine="482" w:firstLineChars="200"/>
              <w:rPr>
                <w:b/>
                <w:szCs w:val="24"/>
              </w:rPr>
            </w:pPr>
            <w:r>
              <w:rPr>
                <w:rFonts w:hint="eastAsia"/>
                <w:b/>
                <w:szCs w:val="24"/>
              </w:rPr>
              <w:t>（三）本次提标改造项目概况</w:t>
            </w:r>
          </w:p>
          <w:p>
            <w:pPr>
              <w:tabs>
                <w:tab w:val="left" w:pos="417"/>
                <w:tab w:val="left" w:pos="3615"/>
              </w:tabs>
              <w:adjustRightInd w:val="0"/>
              <w:snapToGrid w:val="0"/>
              <w:spacing w:line="360" w:lineRule="auto"/>
              <w:ind w:firstLine="482" w:firstLineChars="200"/>
              <w:rPr>
                <w:b/>
                <w:bCs/>
                <w:szCs w:val="24"/>
              </w:rPr>
            </w:pPr>
            <w:r>
              <w:rPr>
                <w:b/>
                <w:bCs/>
                <w:szCs w:val="24"/>
              </w:rPr>
              <w:t>1、项目基本情况</w:t>
            </w:r>
          </w:p>
          <w:p>
            <w:pPr>
              <w:tabs>
                <w:tab w:val="left" w:pos="417"/>
                <w:tab w:val="left" w:pos="3615"/>
              </w:tabs>
              <w:adjustRightInd w:val="0"/>
              <w:snapToGrid w:val="0"/>
              <w:spacing w:line="360" w:lineRule="auto"/>
              <w:ind w:firstLine="480" w:firstLineChars="200"/>
              <w:rPr>
                <w:szCs w:val="24"/>
              </w:rPr>
            </w:pPr>
            <w:r>
              <w:rPr>
                <w:szCs w:val="24"/>
              </w:rPr>
              <w:t>项目名称：</w:t>
            </w:r>
            <w:r>
              <w:rPr>
                <w:rFonts w:hint="eastAsia"/>
                <w:szCs w:val="24"/>
              </w:rPr>
              <w:t>大理州洱源县洱海流域污水处理厂提标改造及管网修复完善工程</w:t>
            </w:r>
          </w:p>
          <w:p>
            <w:pPr>
              <w:tabs>
                <w:tab w:val="left" w:pos="417"/>
                <w:tab w:val="left" w:pos="3615"/>
              </w:tabs>
              <w:adjustRightInd w:val="0"/>
              <w:snapToGrid w:val="0"/>
              <w:spacing w:line="360" w:lineRule="auto"/>
              <w:ind w:firstLine="480" w:firstLineChars="200"/>
              <w:rPr>
                <w:szCs w:val="24"/>
              </w:rPr>
            </w:pPr>
            <w:r>
              <w:rPr>
                <w:szCs w:val="24"/>
              </w:rPr>
              <w:t>建设性质：</w:t>
            </w:r>
            <w:r>
              <w:rPr>
                <w:rFonts w:hint="eastAsia"/>
                <w:szCs w:val="24"/>
              </w:rPr>
              <w:t>提升改造</w:t>
            </w:r>
          </w:p>
          <w:p>
            <w:pPr>
              <w:tabs>
                <w:tab w:val="left" w:pos="417"/>
                <w:tab w:val="left" w:pos="3615"/>
              </w:tabs>
              <w:adjustRightInd w:val="0"/>
              <w:snapToGrid w:val="0"/>
              <w:spacing w:line="360" w:lineRule="auto"/>
              <w:ind w:firstLine="480" w:firstLineChars="200"/>
              <w:rPr>
                <w:szCs w:val="24"/>
              </w:rPr>
            </w:pPr>
            <w:r>
              <w:rPr>
                <w:szCs w:val="24"/>
              </w:rPr>
              <w:t>建设单位：</w:t>
            </w:r>
            <w:r>
              <w:rPr>
                <w:rFonts w:hint="eastAsia"/>
                <w:szCs w:val="24"/>
              </w:rPr>
              <w:t>洱源县洱海流域管理局</w:t>
            </w:r>
          </w:p>
          <w:p>
            <w:pPr>
              <w:tabs>
                <w:tab w:val="left" w:pos="417"/>
                <w:tab w:val="left" w:pos="3615"/>
              </w:tabs>
              <w:adjustRightInd w:val="0"/>
              <w:snapToGrid w:val="0"/>
              <w:spacing w:line="360" w:lineRule="auto"/>
              <w:ind w:firstLine="480" w:firstLineChars="200"/>
            </w:pPr>
            <w:r>
              <w:rPr>
                <w:szCs w:val="24"/>
              </w:rPr>
              <w:t>建设地点：</w:t>
            </w:r>
            <w:r>
              <w:rPr>
                <w:rFonts w:hint="eastAsia"/>
                <w:szCs w:val="24"/>
              </w:rPr>
              <w:t xml:space="preserve">云南省大理州洱源县茈碧湖镇、右所镇、邓川镇、凤羽镇、牛街乡、三营镇6个乡镇行政区范围，地理位置图详见附图1。 </w:t>
            </w:r>
          </w:p>
          <w:p>
            <w:pPr>
              <w:tabs>
                <w:tab w:val="left" w:pos="417"/>
                <w:tab w:val="left" w:pos="3615"/>
              </w:tabs>
              <w:adjustRightInd w:val="0"/>
              <w:snapToGrid w:val="0"/>
              <w:spacing w:line="360" w:lineRule="auto"/>
              <w:ind w:firstLine="480" w:firstLineChars="200"/>
              <w:rPr>
                <w:szCs w:val="24"/>
              </w:rPr>
            </w:pPr>
            <w:r>
              <w:rPr>
                <w:szCs w:val="24"/>
              </w:rPr>
              <w:t>建设投资：项目总投资</w:t>
            </w:r>
            <w:r>
              <w:rPr>
                <w:rFonts w:hint="eastAsia"/>
                <w:szCs w:val="24"/>
              </w:rPr>
              <w:t>15000万元</w:t>
            </w:r>
          </w:p>
          <w:p>
            <w:pPr>
              <w:adjustRightInd w:val="0"/>
              <w:snapToGrid w:val="0"/>
              <w:spacing w:line="360" w:lineRule="auto"/>
              <w:ind w:firstLine="482" w:firstLineChars="200"/>
              <w:rPr>
                <w:b/>
                <w:bCs/>
                <w:szCs w:val="24"/>
              </w:rPr>
            </w:pPr>
            <w:r>
              <w:rPr>
                <w:b/>
                <w:bCs/>
                <w:szCs w:val="24"/>
              </w:rPr>
              <w:t>2、</w:t>
            </w:r>
            <w:r>
              <w:rPr>
                <w:rFonts w:hint="eastAsia"/>
                <w:b/>
                <w:bCs/>
                <w:szCs w:val="24"/>
              </w:rPr>
              <w:t>项目建设</w:t>
            </w:r>
            <w:r>
              <w:rPr>
                <w:b/>
                <w:bCs/>
                <w:szCs w:val="24"/>
              </w:rPr>
              <w:t>内容</w:t>
            </w:r>
            <w:r>
              <w:rPr>
                <w:rFonts w:hint="eastAsia"/>
                <w:b/>
                <w:bCs/>
                <w:szCs w:val="24"/>
              </w:rPr>
              <w:t>及规模</w:t>
            </w:r>
          </w:p>
          <w:p>
            <w:pPr>
              <w:tabs>
                <w:tab w:val="left" w:pos="417"/>
                <w:tab w:val="left" w:pos="3615"/>
              </w:tabs>
              <w:adjustRightInd w:val="0"/>
              <w:snapToGrid w:val="0"/>
              <w:spacing w:line="360" w:lineRule="auto"/>
              <w:ind w:firstLine="480" w:firstLineChars="200"/>
              <w:rPr>
                <w:color w:val="FF0000"/>
                <w:szCs w:val="24"/>
              </w:rPr>
            </w:pPr>
            <w:r>
              <w:rPr>
                <w:szCs w:val="24"/>
              </w:rPr>
              <w:t>本工程包括</w:t>
            </w:r>
            <w:r>
              <w:rPr>
                <w:rFonts w:hint="eastAsia"/>
                <w:szCs w:val="24"/>
              </w:rPr>
              <w:t>2</w:t>
            </w:r>
            <w:r>
              <w:rPr>
                <w:szCs w:val="24"/>
              </w:rPr>
              <w:t>座污水处理厂</w:t>
            </w:r>
            <w:r>
              <w:rPr>
                <w:rFonts w:hint="eastAsia"/>
                <w:szCs w:val="24"/>
              </w:rPr>
              <w:t>（</w:t>
            </w:r>
            <w:r>
              <w:rPr>
                <w:szCs w:val="24"/>
              </w:rPr>
              <w:t>邓川污水处理厂、</w:t>
            </w:r>
            <w:r>
              <w:rPr>
                <w:rFonts w:hint="eastAsia"/>
                <w:szCs w:val="24"/>
              </w:rPr>
              <w:t>右所</w:t>
            </w:r>
            <w:r>
              <w:rPr>
                <w:szCs w:val="24"/>
              </w:rPr>
              <w:t>污水处理厂</w:t>
            </w:r>
            <w:r>
              <w:rPr>
                <w:rFonts w:hint="eastAsia"/>
                <w:szCs w:val="24"/>
              </w:rPr>
              <w:t>）</w:t>
            </w:r>
            <w:r>
              <w:rPr>
                <w:szCs w:val="24"/>
              </w:rPr>
              <w:t>提标改造</w:t>
            </w:r>
            <w:r>
              <w:rPr>
                <w:rFonts w:hint="eastAsia"/>
                <w:szCs w:val="24"/>
              </w:rPr>
              <w:t>和1座污水厂的新建（</w:t>
            </w:r>
            <w:r>
              <w:rPr>
                <w:szCs w:val="24"/>
              </w:rPr>
              <w:t>牛街污水处理厂</w:t>
            </w:r>
            <w:r>
              <w:rPr>
                <w:rFonts w:hint="eastAsia"/>
                <w:szCs w:val="24"/>
              </w:rPr>
              <w:t>二期）</w:t>
            </w:r>
            <w:r>
              <w:rPr>
                <w:szCs w:val="24"/>
              </w:rPr>
              <w:t>；茈碧湖镇、右所镇、凤羽镇、牛街乡、三营镇</w:t>
            </w:r>
            <w:r>
              <w:rPr>
                <w:rFonts w:hint="eastAsia"/>
                <w:szCs w:val="24"/>
              </w:rPr>
              <w:t>5</w:t>
            </w:r>
            <w:r>
              <w:rPr>
                <w:szCs w:val="24"/>
              </w:rPr>
              <w:t>个乡镇</w:t>
            </w:r>
            <w:r>
              <w:rPr>
                <w:rFonts w:hint="eastAsia"/>
                <w:szCs w:val="24"/>
              </w:rPr>
              <w:t>4</w:t>
            </w:r>
            <w:r>
              <w:rPr>
                <w:szCs w:val="24"/>
              </w:rPr>
              <w:t>1个自然村的管网修复</w:t>
            </w:r>
            <w:r>
              <w:rPr>
                <w:rFonts w:hint="eastAsia"/>
                <w:szCs w:val="24"/>
              </w:rPr>
              <w:t>；</w:t>
            </w:r>
            <w:r>
              <w:rPr>
                <w:color w:val="FF0000"/>
                <w:szCs w:val="24"/>
              </w:rPr>
              <w:t>以及</w:t>
            </w:r>
            <w:r>
              <w:rPr>
                <w:rFonts w:hint="eastAsia"/>
                <w:color w:val="FF0000"/>
                <w:szCs w:val="24"/>
              </w:rPr>
              <w:t>右所镇、三营镇、凤羽镇内的5座村落污水处理站点扩建改造</w:t>
            </w:r>
            <w:r>
              <w:rPr>
                <w:color w:val="FF0000"/>
                <w:szCs w:val="24"/>
              </w:rPr>
              <w:t>。</w:t>
            </w:r>
          </w:p>
          <w:p>
            <w:pPr>
              <w:tabs>
                <w:tab w:val="left" w:pos="417"/>
                <w:tab w:val="left" w:pos="3615"/>
              </w:tabs>
              <w:adjustRightInd w:val="0"/>
              <w:snapToGrid w:val="0"/>
              <w:spacing w:line="360" w:lineRule="auto"/>
              <w:ind w:firstLine="480" w:firstLineChars="200"/>
            </w:pPr>
            <w:r>
              <w:rPr>
                <w:rFonts w:hint="eastAsia"/>
              </w:rPr>
              <w:t>具体工程内容：将</w:t>
            </w:r>
            <w:r>
              <w:t>原邓川污水处理厂</w:t>
            </w:r>
            <w:r>
              <w:rPr>
                <w:rFonts w:hint="eastAsia"/>
              </w:rPr>
              <w:t>2000m</w:t>
            </w:r>
            <w:r>
              <w:rPr>
                <w:rFonts w:hint="eastAsia"/>
                <w:vertAlign w:val="superscript"/>
              </w:rPr>
              <w:t>3</w:t>
            </w:r>
            <w:r>
              <w:t xml:space="preserve">/d </w:t>
            </w:r>
            <w:r>
              <w:rPr>
                <w:rFonts w:hint="eastAsia"/>
              </w:rPr>
              <w:t>的</w:t>
            </w:r>
            <w:r>
              <w:t>氧化沟工艺提标改造为4套 500</w:t>
            </w:r>
            <w:r>
              <w:rPr>
                <w:rFonts w:hint="eastAsia"/>
              </w:rPr>
              <w:t>m</w:t>
            </w:r>
            <w:r>
              <w:rPr>
                <w:rFonts w:hint="eastAsia"/>
                <w:vertAlign w:val="superscript"/>
              </w:rPr>
              <w:t>3</w:t>
            </w:r>
            <w:r>
              <w:t>/d MBR工艺的CWT</w:t>
            </w:r>
            <w:r>
              <w:rPr>
                <w:rFonts w:hint="eastAsia"/>
              </w:rPr>
              <w:t>一体化</w:t>
            </w:r>
            <w:r>
              <w:t>设备及配套设施；将原右所污水处理厂</w:t>
            </w:r>
            <w:r>
              <w:rPr>
                <w:rFonts w:hint="eastAsia"/>
              </w:rPr>
              <w:t>1000m</w:t>
            </w:r>
            <w:r>
              <w:rPr>
                <w:rFonts w:hint="eastAsia"/>
                <w:vertAlign w:val="superscript"/>
              </w:rPr>
              <w:t>3</w:t>
            </w:r>
            <w:r>
              <w:t>/d</w:t>
            </w:r>
            <w:r>
              <w:rPr>
                <w:rFonts w:hint="eastAsia"/>
              </w:rPr>
              <w:t>的</w:t>
            </w:r>
            <w:r>
              <w:t>硅藻土工艺提标改造为2套500</w:t>
            </w:r>
            <w:r>
              <w:rPr>
                <w:rFonts w:hint="eastAsia"/>
              </w:rPr>
              <w:t>m</w:t>
            </w:r>
            <w:r>
              <w:rPr>
                <w:rFonts w:hint="eastAsia"/>
                <w:vertAlign w:val="superscript"/>
              </w:rPr>
              <w:t>3</w:t>
            </w:r>
            <w:r>
              <w:t xml:space="preserve">/d MBR工艺的CWT </w:t>
            </w:r>
            <w:r>
              <w:rPr>
                <w:rFonts w:hint="eastAsia"/>
              </w:rPr>
              <w:t>一体化</w:t>
            </w:r>
            <w:r>
              <w:t>设备及配套设施；在原牛街污水处理厂</w:t>
            </w:r>
            <w:r>
              <w:rPr>
                <w:rFonts w:hint="eastAsia"/>
              </w:rPr>
              <w:t>（新厂一期）北面预留用地上</w:t>
            </w:r>
            <w:r>
              <w:t>新建一座</w:t>
            </w:r>
            <w:r>
              <w:rPr>
                <w:rFonts w:hint="eastAsia"/>
              </w:rPr>
              <w:t>规模为</w:t>
            </w:r>
            <w:r>
              <w:t>1000</w:t>
            </w:r>
            <w:r>
              <w:rPr>
                <w:rFonts w:hint="eastAsia"/>
              </w:rPr>
              <w:t>m</w:t>
            </w:r>
            <w:r>
              <w:rPr>
                <w:rFonts w:hint="eastAsia"/>
                <w:vertAlign w:val="superscript"/>
              </w:rPr>
              <w:t>3</w:t>
            </w:r>
            <w:r>
              <w:t>/d</w:t>
            </w:r>
            <w:r>
              <w:rPr>
                <w:rFonts w:hint="eastAsia"/>
              </w:rPr>
              <w:t>的“A</w:t>
            </w:r>
            <w:r>
              <w:rPr>
                <w:rFonts w:hint="eastAsia"/>
                <w:vertAlign w:val="superscript"/>
              </w:rPr>
              <w:t>2</w:t>
            </w:r>
            <w:r>
              <w:rPr>
                <w:rFonts w:hint="eastAsia"/>
              </w:rPr>
              <w:t>O+</w:t>
            </w:r>
            <w:r>
              <w:t>MBR</w:t>
            </w:r>
            <w:r>
              <w:rPr>
                <w:rFonts w:hint="eastAsia"/>
              </w:rPr>
              <w:t>”</w:t>
            </w:r>
            <w:r>
              <w:t>工艺</w:t>
            </w:r>
            <w:r>
              <w:rPr>
                <w:rFonts w:hint="eastAsia"/>
              </w:rPr>
              <w:t>的</w:t>
            </w:r>
            <w:r>
              <w:t>水处理厂。</w:t>
            </w:r>
          </w:p>
          <w:p>
            <w:pPr>
              <w:tabs>
                <w:tab w:val="left" w:pos="417"/>
                <w:tab w:val="left" w:pos="3615"/>
              </w:tabs>
              <w:adjustRightInd w:val="0"/>
              <w:snapToGrid w:val="0"/>
              <w:spacing w:line="360" w:lineRule="auto"/>
              <w:ind w:firstLine="480" w:firstLineChars="200"/>
            </w:pPr>
            <w:r>
              <w:rPr>
                <w:szCs w:val="24"/>
              </w:rPr>
              <w:t>本次管网修复完善共涉及180km，</w:t>
            </w:r>
            <w:r>
              <w:t>新建污水管网32km，清淤修复旧管网148km，修复改造检查井 5000 座。</w:t>
            </w:r>
          </w:p>
          <w:p>
            <w:pPr>
              <w:tabs>
                <w:tab w:val="left" w:pos="417"/>
                <w:tab w:val="left" w:pos="3615"/>
              </w:tabs>
              <w:adjustRightInd w:val="0"/>
              <w:snapToGrid w:val="0"/>
              <w:spacing w:line="360" w:lineRule="auto"/>
              <w:rPr>
                <w:szCs w:val="24"/>
              </w:rPr>
            </w:pPr>
            <w:r>
              <w:rPr>
                <w:rFonts w:hint="eastAsia"/>
                <w:szCs w:val="24"/>
              </w:rPr>
              <w:t xml:space="preserve">     农村污水处理站点扩建改造共5座，包括右所镇下山口CWT站点、三营镇的位于三营老污水厂中的CWT站点</w:t>
            </w:r>
            <w:r>
              <w:rPr>
                <w:rFonts w:hint="eastAsia"/>
                <w:szCs w:val="24"/>
                <w:lang w:eastAsia="zh-CN"/>
              </w:rPr>
              <w:t>和</w:t>
            </w:r>
            <w:bookmarkStart w:id="31" w:name="_GoBack"/>
            <w:bookmarkEnd w:id="31"/>
            <w:r>
              <w:rPr>
                <w:rFonts w:hint="eastAsia"/>
                <w:szCs w:val="24"/>
              </w:rPr>
              <w:t>凤羽镇的大涧村、雪梨村、草甲村的CWT站点。</w:t>
            </w:r>
          </w:p>
          <w:p>
            <w:pPr>
              <w:tabs>
                <w:tab w:val="left" w:pos="417"/>
                <w:tab w:val="left" w:pos="3615"/>
              </w:tabs>
              <w:adjustRightInd w:val="0"/>
              <w:snapToGrid w:val="0"/>
              <w:spacing w:line="360" w:lineRule="auto"/>
              <w:ind w:firstLine="480" w:firstLineChars="200"/>
              <w:rPr>
                <w:b/>
                <w:bCs/>
                <w:szCs w:val="21"/>
              </w:rPr>
            </w:pPr>
            <w:r>
              <w:rPr>
                <w:szCs w:val="24"/>
              </w:rPr>
              <w:t>具体工程建设情况详见</w:t>
            </w:r>
            <w:r>
              <w:rPr>
                <w:rFonts w:hint="eastAsia"/>
                <w:szCs w:val="24"/>
              </w:rPr>
              <w:t>下表：</w:t>
            </w:r>
          </w:p>
          <w:p>
            <w:pPr>
              <w:tabs>
                <w:tab w:val="left" w:pos="417"/>
                <w:tab w:val="left" w:pos="3615"/>
              </w:tabs>
              <w:adjustRightInd w:val="0"/>
              <w:snapToGrid w:val="0"/>
              <w:spacing w:line="360" w:lineRule="auto"/>
              <w:jc w:val="center"/>
              <w:rPr>
                <w:b/>
                <w:bCs/>
                <w:sz w:val="21"/>
                <w:szCs w:val="18"/>
              </w:rPr>
            </w:pPr>
            <w:r>
              <w:rPr>
                <w:b/>
                <w:bCs/>
                <w:sz w:val="21"/>
                <w:szCs w:val="18"/>
              </w:rPr>
              <w:t>表1-</w:t>
            </w:r>
            <w:r>
              <w:rPr>
                <w:rFonts w:hint="eastAsia"/>
                <w:b/>
                <w:bCs/>
                <w:sz w:val="21"/>
                <w:szCs w:val="18"/>
              </w:rPr>
              <w:t>6</w:t>
            </w:r>
            <w:r>
              <w:rPr>
                <w:b/>
                <w:bCs/>
                <w:sz w:val="21"/>
                <w:szCs w:val="18"/>
              </w:rPr>
              <w:t xml:space="preserve">  项目工程</w:t>
            </w:r>
            <w:r>
              <w:rPr>
                <w:rFonts w:hint="eastAsia"/>
                <w:b/>
                <w:bCs/>
                <w:sz w:val="21"/>
                <w:szCs w:val="18"/>
              </w:rPr>
              <w:t>组成</w:t>
            </w:r>
            <w:r>
              <w:rPr>
                <w:b/>
                <w:bCs/>
                <w:sz w:val="21"/>
                <w:szCs w:val="18"/>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486"/>
              <w:gridCol w:w="40"/>
              <w:gridCol w:w="811"/>
              <w:gridCol w:w="5930"/>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Align w:val="center"/>
                </w:tcPr>
                <w:p>
                  <w:pPr>
                    <w:tabs>
                      <w:tab w:val="left" w:pos="417"/>
                      <w:tab w:val="left" w:pos="3615"/>
                    </w:tabs>
                    <w:jc w:val="left"/>
                    <w:rPr>
                      <w:b/>
                      <w:bCs/>
                      <w:sz w:val="21"/>
                      <w:szCs w:val="21"/>
                    </w:rPr>
                  </w:pPr>
                  <w:r>
                    <w:rPr>
                      <w:b/>
                      <w:bCs/>
                      <w:sz w:val="21"/>
                      <w:szCs w:val="21"/>
                    </w:rPr>
                    <w:t>工程分类</w:t>
                  </w:r>
                </w:p>
              </w:tc>
              <w:tc>
                <w:tcPr>
                  <w:tcW w:w="1337" w:type="dxa"/>
                  <w:gridSpan w:val="3"/>
                  <w:vAlign w:val="center"/>
                </w:tcPr>
                <w:p>
                  <w:pPr>
                    <w:tabs>
                      <w:tab w:val="left" w:pos="417"/>
                      <w:tab w:val="left" w:pos="3615"/>
                    </w:tabs>
                    <w:jc w:val="center"/>
                    <w:rPr>
                      <w:b/>
                      <w:bCs/>
                      <w:sz w:val="21"/>
                      <w:szCs w:val="21"/>
                    </w:rPr>
                  </w:pPr>
                  <w:r>
                    <w:rPr>
                      <w:b/>
                      <w:bCs/>
                      <w:sz w:val="21"/>
                      <w:szCs w:val="21"/>
                    </w:rPr>
                    <w:t>项目名称</w:t>
                  </w:r>
                </w:p>
              </w:tc>
              <w:tc>
                <w:tcPr>
                  <w:tcW w:w="5930" w:type="dxa"/>
                  <w:vAlign w:val="center"/>
                </w:tcPr>
                <w:p>
                  <w:pPr>
                    <w:tabs>
                      <w:tab w:val="left" w:pos="417"/>
                      <w:tab w:val="left" w:pos="3615"/>
                    </w:tabs>
                    <w:jc w:val="center"/>
                    <w:rPr>
                      <w:b/>
                      <w:bCs/>
                      <w:sz w:val="21"/>
                      <w:szCs w:val="21"/>
                    </w:rPr>
                  </w:pPr>
                  <w:r>
                    <w:rPr>
                      <w:b/>
                      <w:bCs/>
                      <w:sz w:val="21"/>
                      <w:szCs w:val="21"/>
                    </w:rPr>
                    <w:t>建设内容</w:t>
                  </w:r>
                </w:p>
              </w:tc>
              <w:tc>
                <w:tcPr>
                  <w:tcW w:w="655" w:type="dxa"/>
                  <w:vAlign w:val="center"/>
                </w:tcPr>
                <w:p>
                  <w:pPr>
                    <w:tabs>
                      <w:tab w:val="left" w:pos="417"/>
                      <w:tab w:val="left" w:pos="3615"/>
                    </w:tabs>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restart"/>
                  <w:vAlign w:val="center"/>
                </w:tcPr>
                <w:p>
                  <w:pPr>
                    <w:tabs>
                      <w:tab w:val="left" w:pos="417"/>
                      <w:tab w:val="left" w:pos="3615"/>
                    </w:tabs>
                    <w:jc w:val="center"/>
                    <w:rPr>
                      <w:sz w:val="21"/>
                      <w:szCs w:val="21"/>
                    </w:rPr>
                  </w:pPr>
                  <w:r>
                    <w:rPr>
                      <w:sz w:val="21"/>
                      <w:szCs w:val="21"/>
                    </w:rPr>
                    <w:t>主体工程</w:t>
                  </w:r>
                </w:p>
              </w:tc>
              <w:tc>
                <w:tcPr>
                  <w:tcW w:w="486" w:type="dxa"/>
                  <w:vMerge w:val="restart"/>
                  <w:vAlign w:val="center"/>
                </w:tcPr>
                <w:p>
                  <w:pPr>
                    <w:tabs>
                      <w:tab w:val="left" w:pos="417"/>
                      <w:tab w:val="left" w:pos="3615"/>
                    </w:tabs>
                    <w:ind w:left="-122" w:leftChars="-51" w:right="-122" w:rightChars="-51"/>
                    <w:jc w:val="center"/>
                    <w:rPr>
                      <w:sz w:val="21"/>
                      <w:szCs w:val="21"/>
                    </w:rPr>
                  </w:pPr>
                  <w:r>
                    <w:rPr>
                      <w:rFonts w:hint="eastAsia"/>
                      <w:sz w:val="21"/>
                      <w:szCs w:val="21"/>
                    </w:rPr>
                    <w:t>污水处理厂</w:t>
                  </w:r>
                </w:p>
              </w:tc>
              <w:tc>
                <w:tcPr>
                  <w:tcW w:w="851" w:type="dxa"/>
                  <w:gridSpan w:val="2"/>
                  <w:vAlign w:val="center"/>
                </w:tcPr>
                <w:p>
                  <w:pPr>
                    <w:tabs>
                      <w:tab w:val="left" w:pos="417"/>
                      <w:tab w:val="left" w:pos="3615"/>
                    </w:tabs>
                    <w:ind w:left="-122" w:leftChars="-51" w:right="-122" w:rightChars="-51"/>
                    <w:jc w:val="center"/>
                    <w:rPr>
                      <w:sz w:val="21"/>
                      <w:szCs w:val="21"/>
                    </w:rPr>
                  </w:pPr>
                  <w:r>
                    <w:rPr>
                      <w:rFonts w:hint="eastAsia"/>
                      <w:sz w:val="21"/>
                      <w:szCs w:val="21"/>
                    </w:rPr>
                    <w:t>邓川污水厂改造</w:t>
                  </w:r>
                </w:p>
              </w:tc>
              <w:tc>
                <w:tcPr>
                  <w:tcW w:w="5930" w:type="dxa"/>
                  <w:vAlign w:val="center"/>
                </w:tcPr>
                <w:p>
                  <w:pPr>
                    <w:tabs>
                      <w:tab w:val="left" w:pos="417"/>
                      <w:tab w:val="left" w:pos="3615"/>
                    </w:tabs>
                    <w:ind w:left="-122" w:leftChars="-51" w:right="-122" w:rightChars="-51"/>
                    <w:jc w:val="center"/>
                    <w:rPr>
                      <w:b/>
                      <w:bCs/>
                      <w:sz w:val="21"/>
                      <w:szCs w:val="21"/>
                    </w:rPr>
                  </w:pPr>
                  <w:r>
                    <w:rPr>
                      <w:rFonts w:hint="eastAsia"/>
                      <w:sz w:val="21"/>
                      <w:szCs w:val="21"/>
                    </w:rPr>
                    <w:t>预处理阶段利用原有构筑物，对主要</w:t>
                  </w:r>
                  <w:r>
                    <w:rPr>
                      <w:sz w:val="21"/>
                      <w:szCs w:val="21"/>
                    </w:rPr>
                    <w:t>工艺</w:t>
                  </w:r>
                  <w:r>
                    <w:rPr>
                      <w:rFonts w:hint="eastAsia"/>
                      <w:sz w:val="21"/>
                      <w:szCs w:val="21"/>
                    </w:rPr>
                    <w:t>（氧化沟）</w:t>
                  </w:r>
                  <w:r>
                    <w:rPr>
                      <w:sz w:val="21"/>
                      <w:szCs w:val="21"/>
                    </w:rPr>
                    <w:t>进行改造，将原有厌氧池和氧化沟作为事故池使用，改造后将采用4套 500m</w:t>
                  </w:r>
                  <w:r>
                    <w:rPr>
                      <w:sz w:val="21"/>
                      <w:szCs w:val="21"/>
                      <w:vertAlign w:val="superscript"/>
                    </w:rPr>
                    <w:t>3</w:t>
                  </w:r>
                  <w:r>
                    <w:rPr>
                      <w:sz w:val="21"/>
                      <w:szCs w:val="21"/>
                    </w:rPr>
                    <w:t>/d MBR工艺的CWT一体化设备</w:t>
                  </w:r>
                </w:p>
              </w:tc>
              <w:tc>
                <w:tcPr>
                  <w:tcW w:w="655" w:type="dxa"/>
                  <w:vAlign w:val="center"/>
                </w:tcPr>
                <w:p>
                  <w:pPr>
                    <w:tabs>
                      <w:tab w:val="left" w:pos="417"/>
                      <w:tab w:val="left" w:pos="3615"/>
                    </w:tabs>
                    <w:jc w:val="center"/>
                    <w:rPr>
                      <w:b/>
                      <w:bCs/>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center"/>
                    <w:rPr>
                      <w:sz w:val="21"/>
                      <w:szCs w:val="21"/>
                    </w:rPr>
                  </w:pPr>
                </w:p>
              </w:tc>
              <w:tc>
                <w:tcPr>
                  <w:tcW w:w="851" w:type="dxa"/>
                  <w:gridSpan w:val="2"/>
                  <w:vAlign w:val="center"/>
                </w:tcPr>
                <w:p>
                  <w:pPr>
                    <w:tabs>
                      <w:tab w:val="left" w:pos="417"/>
                      <w:tab w:val="left" w:pos="3615"/>
                    </w:tabs>
                    <w:ind w:left="-122" w:leftChars="-51" w:right="-122" w:rightChars="-51"/>
                    <w:jc w:val="center"/>
                    <w:rPr>
                      <w:sz w:val="21"/>
                      <w:szCs w:val="21"/>
                    </w:rPr>
                  </w:pPr>
                  <w:r>
                    <w:rPr>
                      <w:rFonts w:hint="eastAsia"/>
                      <w:sz w:val="21"/>
                      <w:szCs w:val="21"/>
                    </w:rPr>
                    <w:t>右所污水厂改造</w:t>
                  </w:r>
                </w:p>
              </w:tc>
              <w:tc>
                <w:tcPr>
                  <w:tcW w:w="5930" w:type="dxa"/>
                  <w:vAlign w:val="center"/>
                </w:tcPr>
                <w:p>
                  <w:pPr>
                    <w:tabs>
                      <w:tab w:val="left" w:pos="417"/>
                      <w:tab w:val="left" w:pos="3615"/>
                    </w:tabs>
                    <w:rPr>
                      <w:sz w:val="21"/>
                      <w:szCs w:val="21"/>
                    </w:rPr>
                  </w:pPr>
                  <w:r>
                    <w:rPr>
                      <w:rFonts w:hint="eastAsia"/>
                      <w:sz w:val="21"/>
                      <w:szCs w:val="21"/>
                    </w:rPr>
                    <w:t>预处理阶段利用原有构筑物，</w:t>
                  </w:r>
                  <w:r>
                    <w:rPr>
                      <w:sz w:val="21"/>
                      <w:szCs w:val="21"/>
                    </w:rPr>
                    <w:t>对主要工艺</w:t>
                  </w:r>
                  <w:r>
                    <w:rPr>
                      <w:rFonts w:hint="eastAsia"/>
                      <w:sz w:val="21"/>
                      <w:szCs w:val="21"/>
                    </w:rPr>
                    <w:t>（</w:t>
                  </w:r>
                  <w:r>
                    <w:rPr>
                      <w:sz w:val="21"/>
                      <w:szCs w:val="21"/>
                    </w:rPr>
                    <w:t>硅藻精土处理</w:t>
                  </w:r>
                  <w:r>
                    <w:rPr>
                      <w:rFonts w:hint="eastAsia"/>
                      <w:sz w:val="21"/>
                      <w:szCs w:val="21"/>
                    </w:rPr>
                    <w:t>）</w:t>
                  </w:r>
                  <w:r>
                    <w:rPr>
                      <w:sz w:val="21"/>
                      <w:szCs w:val="21"/>
                    </w:rPr>
                    <w:t>进行改造，</w:t>
                  </w:r>
                  <w:r>
                    <w:rPr>
                      <w:rFonts w:hint="eastAsia"/>
                      <w:sz w:val="21"/>
                      <w:szCs w:val="21"/>
                    </w:rPr>
                    <w:t>将</w:t>
                  </w:r>
                  <w:r>
                    <w:rPr>
                      <w:sz w:val="21"/>
                      <w:szCs w:val="21"/>
                    </w:rPr>
                    <w:t>原有厌氧池和好氧池作为事故池使用，改造后将采用</w:t>
                  </w:r>
                  <w:r>
                    <w:rPr>
                      <w:rFonts w:hint="eastAsia"/>
                      <w:sz w:val="21"/>
                      <w:szCs w:val="21"/>
                    </w:rPr>
                    <w:t>2</w:t>
                  </w:r>
                  <w:r>
                    <w:rPr>
                      <w:sz w:val="21"/>
                      <w:szCs w:val="21"/>
                    </w:rPr>
                    <w:t>套 500m</w:t>
                  </w:r>
                  <w:r>
                    <w:rPr>
                      <w:sz w:val="21"/>
                      <w:szCs w:val="21"/>
                      <w:vertAlign w:val="superscript"/>
                    </w:rPr>
                    <w:t>3</w:t>
                  </w:r>
                  <w:r>
                    <w:rPr>
                      <w:sz w:val="21"/>
                      <w:szCs w:val="21"/>
                    </w:rPr>
                    <w:t>/d MBR工艺的CWT一体化设备</w:t>
                  </w:r>
                </w:p>
              </w:tc>
              <w:tc>
                <w:tcPr>
                  <w:tcW w:w="655" w:type="dxa"/>
                  <w:vAlign w:val="center"/>
                </w:tcPr>
                <w:p>
                  <w:pPr>
                    <w:tabs>
                      <w:tab w:val="left" w:pos="417"/>
                      <w:tab w:val="left" w:pos="3615"/>
                    </w:tabs>
                    <w:jc w:val="center"/>
                    <w:rPr>
                      <w:b/>
                      <w:bCs/>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center"/>
                    <w:rPr>
                      <w:sz w:val="21"/>
                      <w:szCs w:val="21"/>
                    </w:rPr>
                  </w:pPr>
                </w:p>
              </w:tc>
              <w:tc>
                <w:tcPr>
                  <w:tcW w:w="851" w:type="dxa"/>
                  <w:gridSpan w:val="2"/>
                  <w:vAlign w:val="center"/>
                </w:tcPr>
                <w:p>
                  <w:pPr>
                    <w:tabs>
                      <w:tab w:val="left" w:pos="417"/>
                      <w:tab w:val="left" w:pos="3615"/>
                    </w:tabs>
                    <w:ind w:left="-122" w:leftChars="-51" w:right="-122" w:rightChars="-51"/>
                    <w:jc w:val="center"/>
                    <w:rPr>
                      <w:sz w:val="21"/>
                      <w:szCs w:val="21"/>
                    </w:rPr>
                  </w:pPr>
                  <w:r>
                    <w:rPr>
                      <w:rFonts w:hint="eastAsia"/>
                      <w:sz w:val="21"/>
                      <w:szCs w:val="21"/>
                    </w:rPr>
                    <w:t>牛街污水厂新建</w:t>
                  </w:r>
                </w:p>
                <w:p>
                  <w:pPr>
                    <w:tabs>
                      <w:tab w:val="left" w:pos="417"/>
                      <w:tab w:val="left" w:pos="3615"/>
                    </w:tabs>
                    <w:ind w:left="-122" w:leftChars="-51" w:right="-122" w:rightChars="-51"/>
                    <w:jc w:val="center"/>
                    <w:rPr>
                      <w:sz w:val="21"/>
                      <w:szCs w:val="21"/>
                    </w:rPr>
                  </w:pPr>
                  <w:r>
                    <w:rPr>
                      <w:rFonts w:hint="eastAsia"/>
                      <w:sz w:val="21"/>
                      <w:szCs w:val="21"/>
                    </w:rPr>
                    <w:t>（二期）</w:t>
                  </w:r>
                </w:p>
              </w:tc>
              <w:tc>
                <w:tcPr>
                  <w:tcW w:w="5930" w:type="dxa"/>
                  <w:vAlign w:val="center"/>
                </w:tcPr>
                <w:p>
                  <w:pPr>
                    <w:widowControl/>
                    <w:rPr>
                      <w:sz w:val="21"/>
                      <w:szCs w:val="21"/>
                    </w:rPr>
                  </w:pPr>
                  <w:r>
                    <w:rPr>
                      <w:sz w:val="21"/>
                      <w:szCs w:val="21"/>
                    </w:rPr>
                    <w:t>在预留用地上</w:t>
                  </w:r>
                  <w:r>
                    <w:rPr>
                      <w:rFonts w:hint="eastAsia"/>
                      <w:sz w:val="21"/>
                      <w:szCs w:val="21"/>
                    </w:rPr>
                    <w:t>新建</w:t>
                  </w:r>
                  <w:r>
                    <w:rPr>
                      <w:sz w:val="21"/>
                      <w:szCs w:val="21"/>
                    </w:rPr>
                    <w:t>1000m</w:t>
                  </w:r>
                  <w:r>
                    <w:rPr>
                      <w:sz w:val="21"/>
                      <w:szCs w:val="21"/>
                      <w:vertAlign w:val="superscript"/>
                    </w:rPr>
                    <w:t>3</w:t>
                  </w:r>
                  <w:r>
                    <w:rPr>
                      <w:sz w:val="21"/>
                      <w:szCs w:val="21"/>
                    </w:rPr>
                    <w:t>/d污水处理设施，采用</w:t>
                  </w:r>
                  <w:r>
                    <w:rPr>
                      <w:rFonts w:hint="eastAsia"/>
                      <w:sz w:val="21"/>
                      <w:szCs w:val="21"/>
                    </w:rPr>
                    <w:t>“</w:t>
                  </w:r>
                  <w:r>
                    <w:rPr>
                      <w:sz w:val="21"/>
                      <w:szCs w:val="21"/>
                    </w:rPr>
                    <w:t>A</w:t>
                  </w:r>
                  <w:r>
                    <w:rPr>
                      <w:sz w:val="21"/>
                      <w:szCs w:val="21"/>
                      <w:vertAlign w:val="superscript"/>
                    </w:rPr>
                    <w:t>2</w:t>
                  </w:r>
                  <w:r>
                    <w:rPr>
                      <w:sz w:val="21"/>
                      <w:szCs w:val="21"/>
                    </w:rPr>
                    <w:t>O+MBR</w:t>
                  </w:r>
                  <w:r>
                    <w:rPr>
                      <w:rFonts w:hint="eastAsia"/>
                      <w:sz w:val="21"/>
                      <w:szCs w:val="21"/>
                    </w:rPr>
                    <w:t>”</w:t>
                  </w:r>
                  <w:r>
                    <w:rPr>
                      <w:sz w:val="21"/>
                      <w:szCs w:val="21"/>
                    </w:rPr>
                    <w:t>工艺</w:t>
                  </w:r>
                  <w:r>
                    <w:rPr>
                      <w:rFonts w:hint="eastAsia"/>
                      <w:sz w:val="21"/>
                      <w:szCs w:val="21"/>
                    </w:rPr>
                    <w:t>。老厂（已停运）原有</w:t>
                  </w:r>
                  <w:r>
                    <w:rPr>
                      <w:sz w:val="21"/>
                      <w:szCs w:val="21"/>
                    </w:rPr>
                    <w:t>污水处理</w:t>
                  </w:r>
                  <w:r>
                    <w:rPr>
                      <w:rFonts w:hint="eastAsia"/>
                      <w:sz w:val="21"/>
                      <w:szCs w:val="21"/>
                    </w:rPr>
                    <w:t>设施</w:t>
                  </w:r>
                  <w:r>
                    <w:rPr>
                      <w:sz w:val="21"/>
                      <w:szCs w:val="21"/>
                    </w:rPr>
                    <w:t>作为应急处理设施和三期预留用地，</w:t>
                  </w:r>
                  <w:r>
                    <w:rPr>
                      <w:rFonts w:hint="eastAsia"/>
                      <w:sz w:val="21"/>
                      <w:szCs w:val="21"/>
                    </w:rPr>
                    <w:t>新厂一期（已正常运行）</w:t>
                  </w:r>
                  <w:r>
                    <w:rPr>
                      <w:sz w:val="21"/>
                      <w:szCs w:val="21"/>
                    </w:rPr>
                    <w:t>保留不做改动</w:t>
                  </w:r>
                </w:p>
              </w:tc>
              <w:tc>
                <w:tcPr>
                  <w:tcW w:w="655" w:type="dxa"/>
                  <w:vAlign w:val="center"/>
                </w:tcPr>
                <w:p>
                  <w:pPr>
                    <w:tabs>
                      <w:tab w:val="left" w:pos="417"/>
                      <w:tab w:val="left" w:pos="3615"/>
                    </w:tabs>
                    <w:jc w:val="center"/>
                    <w:rPr>
                      <w:b/>
                      <w:bCs/>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restart"/>
                  <w:vAlign w:val="center"/>
                </w:tcPr>
                <w:p>
                  <w:pPr>
                    <w:tabs>
                      <w:tab w:val="left" w:pos="417"/>
                      <w:tab w:val="left" w:pos="3615"/>
                    </w:tabs>
                    <w:ind w:left="-122" w:leftChars="-51" w:right="-122" w:rightChars="-51"/>
                    <w:jc w:val="center"/>
                    <w:rPr>
                      <w:sz w:val="21"/>
                      <w:szCs w:val="21"/>
                    </w:rPr>
                  </w:pPr>
                  <w:r>
                    <w:rPr>
                      <w:rFonts w:hint="eastAsia"/>
                      <w:sz w:val="21"/>
                      <w:szCs w:val="21"/>
                    </w:rPr>
                    <w:t>管网及检查井</w:t>
                  </w:r>
                </w:p>
              </w:tc>
              <w:tc>
                <w:tcPr>
                  <w:tcW w:w="851" w:type="dxa"/>
                  <w:gridSpan w:val="2"/>
                  <w:vAlign w:val="center"/>
                </w:tcPr>
                <w:p>
                  <w:pPr>
                    <w:tabs>
                      <w:tab w:val="left" w:pos="417"/>
                      <w:tab w:val="left" w:pos="3615"/>
                    </w:tabs>
                    <w:ind w:left="-122" w:leftChars="-51" w:right="-122" w:rightChars="-51"/>
                    <w:jc w:val="center"/>
                    <w:rPr>
                      <w:sz w:val="21"/>
                      <w:szCs w:val="21"/>
                    </w:rPr>
                  </w:pPr>
                  <w:r>
                    <w:rPr>
                      <w:sz w:val="21"/>
                      <w:szCs w:val="21"/>
                    </w:rPr>
                    <w:t>接户管</w:t>
                  </w:r>
                </w:p>
              </w:tc>
              <w:tc>
                <w:tcPr>
                  <w:tcW w:w="5930" w:type="dxa"/>
                  <w:vAlign w:val="center"/>
                </w:tcPr>
                <w:p>
                  <w:pPr>
                    <w:tabs>
                      <w:tab w:val="left" w:pos="417"/>
                      <w:tab w:val="left" w:pos="3615"/>
                    </w:tabs>
                    <w:rPr>
                      <w:sz w:val="21"/>
                      <w:szCs w:val="21"/>
                    </w:rPr>
                  </w:pPr>
                  <w:r>
                    <w:rPr>
                      <w:sz w:val="21"/>
                      <w:szCs w:val="21"/>
                    </w:rPr>
                    <w:t>本次管网修复完善共涉及管网检测120km，管网清淤5.3km，管线更换13km、管线新建6km、接户管疏通4km，接户管新建2km</w:t>
                  </w:r>
                  <w:r>
                    <w:rPr>
                      <w:rFonts w:hint="eastAsia"/>
                      <w:sz w:val="21"/>
                      <w:szCs w:val="21"/>
                    </w:rPr>
                    <w:t>。本次工程铺设的接户管道De110管道主要采用PVC-U实壁管，自接户井至污水支管采用PE实壁管，管径为De160。De300及以上管道采用HDPE管（双壁波纹管），道路或承压车道下对埋深＜0.5m的管道考虑采用包封处理。本工程管道埋深均小于4.0m，管道的环刚度不应小于8kN/m</w:t>
                  </w:r>
                  <w:r>
                    <w:rPr>
                      <w:rFonts w:hint="eastAsia"/>
                      <w:sz w:val="21"/>
                      <w:szCs w:val="21"/>
                      <w:vertAlign w:val="superscript"/>
                    </w:rPr>
                    <w:t>2</w:t>
                  </w:r>
                  <w:r>
                    <w:rPr>
                      <w:rFonts w:hint="eastAsia"/>
                      <w:sz w:val="21"/>
                      <w:szCs w:val="21"/>
                    </w:rPr>
                    <w:t>。</w:t>
                  </w:r>
                </w:p>
              </w:tc>
              <w:tc>
                <w:tcPr>
                  <w:tcW w:w="655" w:type="dxa"/>
                  <w:vAlign w:val="center"/>
                </w:tcPr>
                <w:p>
                  <w:pPr>
                    <w:tabs>
                      <w:tab w:val="left" w:pos="417"/>
                      <w:tab w:val="left" w:pos="3615"/>
                    </w:tabs>
                    <w:jc w:val="center"/>
                    <w:rPr>
                      <w:b/>
                      <w:bCs/>
                      <w:sz w:val="21"/>
                      <w:szCs w:val="21"/>
                    </w:rPr>
                  </w:pPr>
                  <w:r>
                    <w:rPr>
                      <w:rFonts w:hint="eastAsia"/>
                      <w:sz w:val="21"/>
                      <w:szCs w:val="21"/>
                    </w:rPr>
                    <w:t>正在施工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center"/>
                    <w:rPr>
                      <w:b/>
                      <w:bCs/>
                      <w:sz w:val="21"/>
                      <w:szCs w:val="21"/>
                    </w:rPr>
                  </w:pPr>
                </w:p>
              </w:tc>
              <w:tc>
                <w:tcPr>
                  <w:tcW w:w="851" w:type="dxa"/>
                  <w:gridSpan w:val="2"/>
                  <w:vAlign w:val="center"/>
                </w:tcPr>
                <w:p>
                  <w:pPr>
                    <w:tabs>
                      <w:tab w:val="left" w:pos="417"/>
                      <w:tab w:val="left" w:pos="3615"/>
                    </w:tabs>
                    <w:ind w:left="-122" w:leftChars="-51" w:right="-122" w:rightChars="-51"/>
                    <w:jc w:val="center"/>
                    <w:rPr>
                      <w:b/>
                      <w:bCs/>
                      <w:sz w:val="21"/>
                      <w:szCs w:val="21"/>
                    </w:rPr>
                  </w:pPr>
                  <w:r>
                    <w:rPr>
                      <w:sz w:val="21"/>
                      <w:szCs w:val="21"/>
                    </w:rPr>
                    <w:t>检查井</w:t>
                  </w:r>
                </w:p>
              </w:tc>
              <w:tc>
                <w:tcPr>
                  <w:tcW w:w="5930" w:type="dxa"/>
                  <w:vAlign w:val="center"/>
                </w:tcPr>
                <w:p>
                  <w:pPr>
                    <w:tabs>
                      <w:tab w:val="left" w:pos="417"/>
                      <w:tab w:val="left" w:pos="3615"/>
                    </w:tabs>
                    <w:rPr>
                      <w:sz w:val="21"/>
                      <w:szCs w:val="21"/>
                    </w:rPr>
                  </w:pPr>
                  <w:r>
                    <w:rPr>
                      <w:sz w:val="21"/>
                      <w:szCs w:val="21"/>
                    </w:rPr>
                    <w:t>检查井修复1117个、检查井盖更换1190个</w:t>
                  </w:r>
                  <w:r>
                    <w:rPr>
                      <w:rFonts w:hint="eastAsia"/>
                      <w:sz w:val="21"/>
                      <w:szCs w:val="21"/>
                    </w:rPr>
                    <w:t>。</w:t>
                  </w:r>
                  <w:r>
                    <w:rPr>
                      <w:sz w:val="21"/>
                      <w:szCs w:val="21"/>
                    </w:rPr>
                    <w:t>非硬化路面检查井井周保护476个</w:t>
                  </w:r>
                  <w:r>
                    <w:rPr>
                      <w:rFonts w:hint="eastAsia"/>
                      <w:sz w:val="21"/>
                      <w:szCs w:val="21"/>
                    </w:rPr>
                    <w:t>。选取一次注塑成型的塑料检查井，入户污水管道对应塑料检查井规格为φ315×110mm，φ315×160mm。</w:t>
                  </w:r>
                </w:p>
                <w:p>
                  <w:pPr>
                    <w:tabs>
                      <w:tab w:val="left" w:pos="417"/>
                      <w:tab w:val="left" w:pos="3615"/>
                    </w:tabs>
                    <w:rPr>
                      <w:b/>
                      <w:bCs/>
                      <w:sz w:val="21"/>
                      <w:szCs w:val="21"/>
                    </w:rPr>
                  </w:pPr>
                  <w:r>
                    <w:rPr>
                      <w:rFonts w:hint="eastAsia"/>
                      <w:sz w:val="21"/>
                      <w:szCs w:val="21"/>
                    </w:rPr>
                    <w:t>检查井内应设防坠落隔板，防坠落隔板应牢固可靠，具体应按照《市政排水用塑料检查井》（CJ/T 326-2010）和《建筑小区排水用塑料检查井》（CJ/T 233-2016）执行。</w:t>
                  </w:r>
                </w:p>
              </w:tc>
              <w:tc>
                <w:tcPr>
                  <w:tcW w:w="655" w:type="dxa"/>
                  <w:vAlign w:val="center"/>
                </w:tcPr>
                <w:p>
                  <w:pPr>
                    <w:tabs>
                      <w:tab w:val="left" w:pos="417"/>
                      <w:tab w:val="left" w:pos="3615"/>
                    </w:tabs>
                    <w:jc w:val="center"/>
                    <w:rPr>
                      <w:b/>
                      <w:bCs/>
                      <w:sz w:val="21"/>
                      <w:szCs w:val="21"/>
                    </w:rPr>
                  </w:pPr>
                  <w:r>
                    <w:rPr>
                      <w:rFonts w:hint="eastAsia"/>
                      <w:sz w:val="21"/>
                      <w:szCs w:val="21"/>
                    </w:rPr>
                    <w:t>正在施工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restart"/>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村落CWT站点</w:t>
                  </w: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三营</w:t>
                  </w:r>
                </w:p>
                <w:p>
                  <w:pPr>
                    <w:tabs>
                      <w:tab w:val="left" w:pos="417"/>
                      <w:tab w:val="left" w:pos="3615"/>
                    </w:tabs>
                    <w:ind w:left="-122" w:leftChars="-51" w:right="-122" w:rightChars="-51"/>
                    <w:jc w:val="center"/>
                    <w:rPr>
                      <w:color w:val="FF0000"/>
                      <w:sz w:val="21"/>
                      <w:szCs w:val="21"/>
                    </w:rPr>
                  </w:pPr>
                  <w:r>
                    <w:rPr>
                      <w:rFonts w:hint="eastAsia"/>
                      <w:color w:val="FF0000"/>
                      <w:sz w:val="21"/>
                      <w:szCs w:val="21"/>
                    </w:rPr>
                    <w:t>老厂</w:t>
                  </w:r>
                </w:p>
              </w:tc>
              <w:tc>
                <w:tcPr>
                  <w:tcW w:w="5930" w:type="dxa"/>
                  <w:vAlign w:val="center"/>
                </w:tcPr>
                <w:p>
                  <w:pPr>
                    <w:tabs>
                      <w:tab w:val="left" w:pos="417"/>
                      <w:tab w:val="left" w:pos="3615"/>
                    </w:tabs>
                    <w:rPr>
                      <w:color w:val="FF0000"/>
                      <w:sz w:val="21"/>
                      <w:szCs w:val="21"/>
                    </w:rPr>
                  </w:pPr>
                  <w:r>
                    <w:rPr>
                      <w:rFonts w:hint="eastAsia"/>
                      <w:color w:val="FF0000"/>
                      <w:sz w:val="21"/>
                      <w:szCs w:val="21"/>
                    </w:rPr>
                    <w:t>三营老厂内原有的CWT站点处于废弃状态，本次在原址改扩建一座处理规模为300m</w:t>
                  </w:r>
                  <w:r>
                    <w:rPr>
                      <w:rFonts w:hint="eastAsia"/>
                      <w:color w:val="FF0000"/>
                      <w:sz w:val="21"/>
                      <w:szCs w:val="21"/>
                      <w:vertAlign w:val="superscript"/>
                    </w:rPr>
                    <w:t>3</w:t>
                  </w:r>
                  <w:r>
                    <w:rPr>
                      <w:rFonts w:hint="eastAsia"/>
                      <w:color w:val="FF0000"/>
                      <w:sz w:val="21"/>
                      <w:szCs w:val="21"/>
                    </w:rPr>
                    <w:t>/d的CWT污水处理站点</w:t>
                  </w:r>
                </w:p>
              </w:tc>
              <w:tc>
                <w:tcPr>
                  <w:tcW w:w="655" w:type="dxa"/>
                  <w:vMerge w:val="restart"/>
                  <w:vAlign w:val="center"/>
                </w:tcPr>
                <w:p>
                  <w:pPr>
                    <w:tabs>
                      <w:tab w:val="left" w:pos="417"/>
                      <w:tab w:val="left" w:pos="3615"/>
                    </w:tabs>
                    <w:jc w:val="center"/>
                    <w:rPr>
                      <w:b/>
                      <w:bCs/>
                      <w:sz w:val="21"/>
                      <w:szCs w:val="21"/>
                    </w:rPr>
                  </w:pPr>
                  <w:r>
                    <w:rPr>
                      <w:rFonts w:hint="eastAsia"/>
                      <w:sz w:val="21"/>
                      <w:szCs w:val="21"/>
                    </w:rPr>
                    <w:t>正在施工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大涧村</w:t>
                  </w:r>
                </w:p>
              </w:tc>
              <w:tc>
                <w:tcPr>
                  <w:tcW w:w="5930" w:type="dxa"/>
                  <w:vAlign w:val="center"/>
                </w:tcPr>
                <w:p>
                  <w:pPr>
                    <w:tabs>
                      <w:tab w:val="left" w:pos="417"/>
                      <w:tab w:val="left" w:pos="3615"/>
                    </w:tabs>
                    <w:rPr>
                      <w:color w:val="FF0000"/>
                      <w:sz w:val="21"/>
                      <w:szCs w:val="21"/>
                    </w:rPr>
                  </w:pPr>
                  <w:r>
                    <w:rPr>
                      <w:rFonts w:hint="eastAsia"/>
                      <w:color w:val="FF0000"/>
                      <w:sz w:val="21"/>
                      <w:szCs w:val="21"/>
                    </w:rPr>
                    <w:t>新建一座处理规模为100m</w:t>
                  </w:r>
                  <w:r>
                    <w:rPr>
                      <w:rFonts w:hint="eastAsia"/>
                      <w:color w:val="FF0000"/>
                      <w:sz w:val="21"/>
                      <w:szCs w:val="21"/>
                      <w:vertAlign w:val="superscript"/>
                    </w:rPr>
                    <w:t>3</w:t>
                  </w:r>
                  <w:r>
                    <w:rPr>
                      <w:rFonts w:hint="eastAsia"/>
                      <w:color w:val="FF0000"/>
                      <w:sz w:val="21"/>
                      <w:szCs w:val="21"/>
                    </w:rPr>
                    <w:t>/d的CWT污水处理站点</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雪梨村</w:t>
                  </w:r>
                </w:p>
              </w:tc>
              <w:tc>
                <w:tcPr>
                  <w:tcW w:w="5930" w:type="dxa"/>
                  <w:vAlign w:val="center"/>
                </w:tcPr>
                <w:p>
                  <w:pPr>
                    <w:tabs>
                      <w:tab w:val="left" w:pos="417"/>
                      <w:tab w:val="left" w:pos="3615"/>
                    </w:tabs>
                    <w:rPr>
                      <w:color w:val="FF0000"/>
                      <w:sz w:val="21"/>
                      <w:szCs w:val="21"/>
                    </w:rPr>
                  </w:pPr>
                  <w:r>
                    <w:rPr>
                      <w:rFonts w:hint="eastAsia"/>
                      <w:color w:val="FF0000"/>
                      <w:sz w:val="21"/>
                      <w:szCs w:val="21"/>
                    </w:rPr>
                    <w:t>原有的CWT站点处理规模为100m</w:t>
                  </w:r>
                  <w:r>
                    <w:rPr>
                      <w:rFonts w:hint="eastAsia"/>
                      <w:color w:val="FF0000"/>
                      <w:sz w:val="21"/>
                      <w:szCs w:val="21"/>
                      <w:vertAlign w:val="superscript"/>
                    </w:rPr>
                    <w:t>3</w:t>
                  </w:r>
                  <w:r>
                    <w:rPr>
                      <w:rFonts w:hint="eastAsia"/>
                      <w:color w:val="FF0000"/>
                      <w:sz w:val="21"/>
                      <w:szCs w:val="21"/>
                    </w:rPr>
                    <w:t>/d，本次扩建将拆除原CWT一体化设备，扩建一座处理规模为200m</w:t>
                  </w:r>
                  <w:r>
                    <w:rPr>
                      <w:rFonts w:hint="eastAsia"/>
                      <w:color w:val="FF0000"/>
                      <w:sz w:val="21"/>
                      <w:szCs w:val="21"/>
                      <w:vertAlign w:val="superscript"/>
                    </w:rPr>
                    <w:t>3</w:t>
                  </w:r>
                  <w:r>
                    <w:rPr>
                      <w:rFonts w:hint="eastAsia"/>
                      <w:color w:val="FF0000"/>
                      <w:sz w:val="21"/>
                      <w:szCs w:val="21"/>
                    </w:rPr>
                    <w:t>/d的CWT污水处理站</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草甲村</w:t>
                  </w:r>
                </w:p>
              </w:tc>
              <w:tc>
                <w:tcPr>
                  <w:tcW w:w="5930" w:type="dxa"/>
                  <w:vAlign w:val="center"/>
                </w:tcPr>
                <w:p>
                  <w:pPr>
                    <w:tabs>
                      <w:tab w:val="left" w:pos="417"/>
                      <w:tab w:val="left" w:pos="3615"/>
                    </w:tabs>
                    <w:rPr>
                      <w:color w:val="FF0000"/>
                      <w:sz w:val="21"/>
                      <w:szCs w:val="21"/>
                    </w:rPr>
                  </w:pPr>
                  <w:r>
                    <w:rPr>
                      <w:rFonts w:hint="eastAsia"/>
                      <w:color w:val="FF0000"/>
                      <w:sz w:val="21"/>
                      <w:szCs w:val="21"/>
                    </w:rPr>
                    <w:t>原有的CWT站点处理规模为63m</w:t>
                  </w:r>
                  <w:r>
                    <w:rPr>
                      <w:rFonts w:hint="eastAsia"/>
                      <w:color w:val="FF0000"/>
                      <w:sz w:val="21"/>
                      <w:szCs w:val="21"/>
                      <w:vertAlign w:val="superscript"/>
                    </w:rPr>
                    <w:t>3</w:t>
                  </w:r>
                  <w:r>
                    <w:rPr>
                      <w:rFonts w:hint="eastAsia"/>
                      <w:color w:val="FF0000"/>
                      <w:sz w:val="21"/>
                      <w:szCs w:val="21"/>
                    </w:rPr>
                    <w:t>/d，本次扩建利用雪梨村原有的CWT一体化设备，扩建后处理规模为100m</w:t>
                  </w:r>
                  <w:r>
                    <w:rPr>
                      <w:rFonts w:hint="eastAsia"/>
                      <w:color w:val="FF0000"/>
                      <w:sz w:val="21"/>
                      <w:szCs w:val="21"/>
                      <w:vertAlign w:val="superscript"/>
                    </w:rPr>
                    <w:t>3</w:t>
                  </w:r>
                  <w:r>
                    <w:rPr>
                      <w:rFonts w:hint="eastAsia"/>
                      <w:color w:val="FF0000"/>
                      <w:sz w:val="21"/>
                      <w:szCs w:val="21"/>
                    </w:rPr>
                    <w:t>/d的CWT污水处理站点</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下山口</w:t>
                  </w:r>
                </w:p>
              </w:tc>
              <w:tc>
                <w:tcPr>
                  <w:tcW w:w="5930" w:type="dxa"/>
                  <w:vAlign w:val="center"/>
                </w:tcPr>
                <w:p>
                  <w:pPr>
                    <w:tabs>
                      <w:tab w:val="left" w:pos="417"/>
                      <w:tab w:val="left" w:pos="3615"/>
                    </w:tabs>
                    <w:rPr>
                      <w:color w:val="FF0000"/>
                      <w:sz w:val="21"/>
                      <w:szCs w:val="21"/>
                    </w:rPr>
                  </w:pPr>
                  <w:r>
                    <w:rPr>
                      <w:rFonts w:hint="eastAsia"/>
                      <w:color w:val="FF0000"/>
                      <w:sz w:val="21"/>
                      <w:szCs w:val="21"/>
                    </w:rPr>
                    <w:t>原有的CWT站点处理规模为300m</w:t>
                  </w:r>
                  <w:r>
                    <w:rPr>
                      <w:rFonts w:hint="eastAsia"/>
                      <w:color w:val="FF0000"/>
                      <w:sz w:val="21"/>
                      <w:szCs w:val="21"/>
                      <w:vertAlign w:val="superscript"/>
                    </w:rPr>
                    <w:t>3</w:t>
                  </w:r>
                  <w:r>
                    <w:rPr>
                      <w:rFonts w:hint="eastAsia"/>
                      <w:color w:val="FF0000"/>
                      <w:sz w:val="21"/>
                      <w:szCs w:val="21"/>
                    </w:rPr>
                    <w:t>/d，本次将在原有CWT站点旁边新增一座处理规模为500m</w:t>
                  </w:r>
                  <w:r>
                    <w:rPr>
                      <w:rFonts w:hint="eastAsia"/>
                      <w:color w:val="FF0000"/>
                      <w:sz w:val="21"/>
                      <w:szCs w:val="21"/>
                      <w:vertAlign w:val="superscript"/>
                    </w:rPr>
                    <w:t>3</w:t>
                  </w:r>
                  <w:r>
                    <w:rPr>
                      <w:rFonts w:hint="eastAsia"/>
                      <w:color w:val="FF0000"/>
                      <w:sz w:val="21"/>
                      <w:szCs w:val="21"/>
                    </w:rPr>
                    <w:t>/d的CWT污水处理站点，扩建后总处理规模为800m</w:t>
                  </w:r>
                  <w:r>
                    <w:rPr>
                      <w:rFonts w:hint="eastAsia"/>
                      <w:color w:val="FF0000"/>
                      <w:sz w:val="21"/>
                      <w:szCs w:val="21"/>
                      <w:vertAlign w:val="superscript"/>
                    </w:rPr>
                    <w:t>3</w:t>
                  </w:r>
                  <w:r>
                    <w:rPr>
                      <w:rFonts w:hint="eastAsia"/>
                      <w:color w:val="FF0000"/>
                      <w:sz w:val="21"/>
                      <w:szCs w:val="21"/>
                    </w:rPr>
                    <w:t>/d</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restart"/>
                  <w:vAlign w:val="center"/>
                </w:tcPr>
                <w:p>
                  <w:pPr>
                    <w:tabs>
                      <w:tab w:val="left" w:pos="417"/>
                      <w:tab w:val="left" w:pos="3615"/>
                    </w:tabs>
                    <w:jc w:val="center"/>
                    <w:rPr>
                      <w:sz w:val="21"/>
                      <w:szCs w:val="21"/>
                    </w:rPr>
                  </w:pPr>
                  <w:r>
                    <w:rPr>
                      <w:sz w:val="21"/>
                      <w:szCs w:val="21"/>
                    </w:rPr>
                    <w:t>公用工程</w:t>
                  </w:r>
                </w:p>
              </w:tc>
              <w:tc>
                <w:tcPr>
                  <w:tcW w:w="1337" w:type="dxa"/>
                  <w:gridSpan w:val="3"/>
                  <w:vAlign w:val="center"/>
                </w:tcPr>
                <w:p>
                  <w:pPr>
                    <w:tabs>
                      <w:tab w:val="left" w:pos="417"/>
                      <w:tab w:val="left" w:pos="3615"/>
                    </w:tabs>
                    <w:jc w:val="center"/>
                    <w:rPr>
                      <w:sz w:val="21"/>
                      <w:szCs w:val="21"/>
                    </w:rPr>
                  </w:pPr>
                  <w:r>
                    <w:rPr>
                      <w:sz w:val="21"/>
                      <w:szCs w:val="21"/>
                    </w:rPr>
                    <w:t>排水系统</w:t>
                  </w:r>
                </w:p>
              </w:tc>
              <w:tc>
                <w:tcPr>
                  <w:tcW w:w="5930" w:type="dxa"/>
                  <w:vAlign w:val="center"/>
                </w:tcPr>
                <w:p>
                  <w:pPr>
                    <w:tabs>
                      <w:tab w:val="left" w:pos="417"/>
                      <w:tab w:val="left" w:pos="3615"/>
                    </w:tabs>
                    <w:jc w:val="center"/>
                    <w:rPr>
                      <w:sz w:val="21"/>
                      <w:szCs w:val="21"/>
                    </w:rPr>
                  </w:pPr>
                  <w:r>
                    <w:rPr>
                      <w:sz w:val="21"/>
                      <w:szCs w:val="21"/>
                    </w:rPr>
                    <w:t>本项目工程起点为各户出水，经化粪池进入污水支管，进而接入污水主管后接入就近的污水处理厂</w:t>
                  </w:r>
                  <w:r>
                    <w:rPr>
                      <w:rFonts w:hint="eastAsia"/>
                      <w:sz w:val="21"/>
                      <w:szCs w:val="21"/>
                    </w:rPr>
                    <w:t>，污水处理厂出水达标后，排入配套的人工湿地</w:t>
                  </w:r>
                </w:p>
              </w:tc>
              <w:tc>
                <w:tcPr>
                  <w:tcW w:w="655" w:type="dxa"/>
                  <w:vMerge w:val="restart"/>
                  <w:vAlign w:val="center"/>
                </w:tcPr>
                <w:p>
                  <w:pPr>
                    <w:tabs>
                      <w:tab w:val="left" w:pos="417"/>
                      <w:tab w:val="left" w:pos="3615"/>
                    </w:tabs>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sz w:val="21"/>
                      <w:szCs w:val="21"/>
                    </w:rPr>
                    <w:t>供电系统</w:t>
                  </w:r>
                </w:p>
              </w:tc>
              <w:tc>
                <w:tcPr>
                  <w:tcW w:w="5930" w:type="dxa"/>
                  <w:vAlign w:val="center"/>
                </w:tcPr>
                <w:p>
                  <w:pPr>
                    <w:tabs>
                      <w:tab w:val="left" w:pos="417"/>
                      <w:tab w:val="left" w:pos="3615"/>
                    </w:tabs>
                    <w:jc w:val="center"/>
                    <w:rPr>
                      <w:sz w:val="21"/>
                      <w:szCs w:val="21"/>
                    </w:rPr>
                  </w:pPr>
                  <w:r>
                    <w:rPr>
                      <w:rFonts w:hint="eastAsia"/>
                      <w:sz w:val="21"/>
                      <w:szCs w:val="21"/>
                    </w:rPr>
                    <w:t>污水处理厂</w:t>
                  </w:r>
                  <w:r>
                    <w:rPr>
                      <w:sz w:val="21"/>
                      <w:szCs w:val="21"/>
                    </w:rPr>
                    <w:t>运行用电引自附近的电源</w:t>
                  </w:r>
                  <w:r>
                    <w:rPr>
                      <w:rFonts w:hint="eastAsia"/>
                      <w:sz w:val="21"/>
                      <w:szCs w:val="21"/>
                    </w:rPr>
                    <w:t xml:space="preserve">通过变压器接入厂区 </w:t>
                  </w:r>
                </w:p>
              </w:tc>
              <w:tc>
                <w:tcPr>
                  <w:tcW w:w="655" w:type="dxa"/>
                  <w:vMerge w:val="continue"/>
                  <w:vAlign w:val="center"/>
                </w:tcPr>
                <w:p>
                  <w:pPr>
                    <w:tabs>
                      <w:tab w:val="left" w:pos="417"/>
                      <w:tab w:val="left" w:pos="3615"/>
                    </w:tabs>
                    <w:jc w:val="center"/>
                    <w:rPr>
                      <w:rStyle w:val="4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restart"/>
                  <w:vAlign w:val="center"/>
                </w:tcPr>
                <w:p>
                  <w:pPr>
                    <w:tabs>
                      <w:tab w:val="left" w:pos="417"/>
                      <w:tab w:val="left" w:pos="3615"/>
                    </w:tabs>
                    <w:jc w:val="center"/>
                    <w:rPr>
                      <w:sz w:val="21"/>
                      <w:szCs w:val="21"/>
                    </w:rPr>
                  </w:pPr>
                  <w:r>
                    <w:rPr>
                      <w:sz w:val="21"/>
                      <w:szCs w:val="21"/>
                    </w:rPr>
                    <w:t>环保工程</w:t>
                  </w:r>
                </w:p>
              </w:tc>
              <w:tc>
                <w:tcPr>
                  <w:tcW w:w="1337" w:type="dxa"/>
                  <w:gridSpan w:val="3"/>
                  <w:vAlign w:val="center"/>
                </w:tcPr>
                <w:p>
                  <w:pPr>
                    <w:tabs>
                      <w:tab w:val="left" w:pos="417"/>
                      <w:tab w:val="left" w:pos="3615"/>
                    </w:tabs>
                    <w:jc w:val="center"/>
                    <w:rPr>
                      <w:sz w:val="21"/>
                      <w:szCs w:val="21"/>
                    </w:rPr>
                  </w:pPr>
                  <w:r>
                    <w:rPr>
                      <w:sz w:val="21"/>
                      <w:szCs w:val="21"/>
                    </w:rPr>
                    <w:t>废气</w:t>
                  </w:r>
                </w:p>
              </w:tc>
              <w:tc>
                <w:tcPr>
                  <w:tcW w:w="5930" w:type="dxa"/>
                  <w:vAlign w:val="center"/>
                </w:tcPr>
                <w:p>
                  <w:pPr>
                    <w:tabs>
                      <w:tab w:val="left" w:pos="417"/>
                      <w:tab w:val="left" w:pos="3615"/>
                    </w:tabs>
                    <w:jc w:val="center"/>
                    <w:rPr>
                      <w:sz w:val="21"/>
                      <w:szCs w:val="21"/>
                    </w:rPr>
                  </w:pPr>
                  <w:r>
                    <w:rPr>
                      <w:sz w:val="21"/>
                      <w:szCs w:val="21"/>
                    </w:rPr>
                    <w:t>污水处理站产生的臭气通过</w:t>
                  </w:r>
                  <w:r>
                    <w:rPr>
                      <w:rFonts w:hint="eastAsia"/>
                      <w:sz w:val="21"/>
                      <w:szCs w:val="21"/>
                    </w:rPr>
                    <w:t>半</w:t>
                  </w:r>
                  <w:r>
                    <w:rPr>
                      <w:sz w:val="21"/>
                      <w:szCs w:val="21"/>
                    </w:rPr>
                    <w:t>封闭式构筑物及大气稀释扩散后无组织排放</w:t>
                  </w:r>
                </w:p>
              </w:tc>
              <w:tc>
                <w:tcPr>
                  <w:tcW w:w="655" w:type="dxa"/>
                  <w:vAlign w:val="center"/>
                </w:tcPr>
                <w:p>
                  <w:pPr>
                    <w:tabs>
                      <w:tab w:val="left" w:pos="417"/>
                      <w:tab w:val="left" w:pos="3615"/>
                    </w:tabs>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sz w:val="21"/>
                      <w:szCs w:val="21"/>
                    </w:rPr>
                    <w:t>噪声</w:t>
                  </w:r>
                </w:p>
              </w:tc>
              <w:tc>
                <w:tcPr>
                  <w:tcW w:w="5930" w:type="dxa"/>
                  <w:vAlign w:val="center"/>
                </w:tcPr>
                <w:p>
                  <w:pPr>
                    <w:tabs>
                      <w:tab w:val="left" w:pos="417"/>
                      <w:tab w:val="left" w:pos="3615"/>
                    </w:tabs>
                    <w:jc w:val="center"/>
                    <w:rPr>
                      <w:sz w:val="21"/>
                      <w:szCs w:val="21"/>
                    </w:rPr>
                  </w:pPr>
                  <w:r>
                    <w:rPr>
                      <w:rFonts w:hint="eastAsia"/>
                      <w:bCs/>
                      <w:sz w:val="21"/>
                      <w:szCs w:val="21"/>
                    </w:rPr>
                    <w:t>邓川、右所污水厂采取基础减震、构筑物</w:t>
                  </w:r>
                  <w:r>
                    <w:rPr>
                      <w:bCs/>
                      <w:sz w:val="21"/>
                      <w:szCs w:val="21"/>
                    </w:rPr>
                    <w:t>隔声</w:t>
                  </w:r>
                  <w:r>
                    <w:rPr>
                      <w:rFonts w:hint="eastAsia"/>
                      <w:bCs/>
                      <w:sz w:val="21"/>
                      <w:szCs w:val="21"/>
                    </w:rPr>
                    <w:t>、厂界绿化吸声；牛街污水厂采取基础减震、隔声系统以及厂界绿化吸声</w:t>
                  </w:r>
                </w:p>
              </w:tc>
              <w:tc>
                <w:tcPr>
                  <w:tcW w:w="655" w:type="dxa"/>
                  <w:vAlign w:val="center"/>
                </w:tcPr>
                <w:p>
                  <w:pPr>
                    <w:tabs>
                      <w:tab w:val="left" w:pos="417"/>
                      <w:tab w:val="left" w:pos="3615"/>
                    </w:tabs>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526" w:type="dxa"/>
                  <w:gridSpan w:val="2"/>
                  <w:vMerge w:val="restart"/>
                  <w:vAlign w:val="center"/>
                </w:tcPr>
                <w:p>
                  <w:pPr>
                    <w:tabs>
                      <w:tab w:val="left" w:pos="417"/>
                      <w:tab w:val="left" w:pos="3615"/>
                    </w:tabs>
                    <w:jc w:val="center"/>
                    <w:rPr>
                      <w:sz w:val="21"/>
                      <w:szCs w:val="21"/>
                    </w:rPr>
                  </w:pPr>
                  <w:r>
                    <w:rPr>
                      <w:sz w:val="21"/>
                      <w:szCs w:val="21"/>
                    </w:rPr>
                    <w:t>固废</w:t>
                  </w:r>
                </w:p>
              </w:tc>
              <w:tc>
                <w:tcPr>
                  <w:tcW w:w="811" w:type="dxa"/>
                  <w:vAlign w:val="center"/>
                </w:tcPr>
                <w:p>
                  <w:pPr>
                    <w:tabs>
                      <w:tab w:val="left" w:pos="417"/>
                      <w:tab w:val="left" w:pos="3615"/>
                    </w:tabs>
                    <w:jc w:val="center"/>
                    <w:rPr>
                      <w:sz w:val="21"/>
                      <w:szCs w:val="21"/>
                    </w:rPr>
                  </w:pPr>
                  <w:r>
                    <w:rPr>
                      <w:rFonts w:hint="eastAsia"/>
                      <w:sz w:val="21"/>
                      <w:szCs w:val="21"/>
                    </w:rPr>
                    <w:t>一般固废</w:t>
                  </w:r>
                </w:p>
              </w:tc>
              <w:tc>
                <w:tcPr>
                  <w:tcW w:w="5930" w:type="dxa"/>
                  <w:vAlign w:val="center"/>
                </w:tcPr>
                <w:p>
                  <w:pPr>
                    <w:pStyle w:val="23"/>
                    <w:jc w:val="center"/>
                    <w:rPr>
                      <w:sz w:val="21"/>
                      <w:szCs w:val="21"/>
                    </w:rPr>
                  </w:pPr>
                  <w:r>
                    <w:rPr>
                      <w:rFonts w:hint="eastAsia"/>
                      <w:sz w:val="21"/>
                      <w:szCs w:val="21"/>
                    </w:rPr>
                    <w:t>管网清淤</w:t>
                  </w:r>
                  <w:r>
                    <w:rPr>
                      <w:sz w:val="21"/>
                      <w:szCs w:val="21"/>
                    </w:rPr>
                    <w:t>产生的污泥通过</w:t>
                  </w:r>
                  <w:r>
                    <w:rPr>
                      <w:bCs/>
                      <w:sz w:val="21"/>
                      <w:szCs w:val="21"/>
                    </w:rPr>
                    <w:t>吸污车</w:t>
                  </w:r>
                  <w:r>
                    <w:rPr>
                      <w:rFonts w:hint="eastAsia"/>
                      <w:bCs/>
                      <w:sz w:val="21"/>
                      <w:szCs w:val="21"/>
                    </w:rPr>
                    <w:t>清</w:t>
                  </w:r>
                  <w:r>
                    <w:rPr>
                      <w:bCs/>
                      <w:sz w:val="21"/>
                      <w:szCs w:val="21"/>
                    </w:rPr>
                    <w:t>运至附近的</w:t>
                  </w:r>
                  <w:r>
                    <w:rPr>
                      <w:rFonts w:hint="eastAsia"/>
                      <w:bCs/>
                      <w:sz w:val="21"/>
                      <w:szCs w:val="21"/>
                    </w:rPr>
                    <w:t>集镇</w:t>
                  </w:r>
                  <w:r>
                    <w:rPr>
                      <w:bCs/>
                      <w:sz w:val="21"/>
                      <w:szCs w:val="21"/>
                    </w:rPr>
                    <w:t>污水处理</w:t>
                  </w:r>
                  <w:r>
                    <w:rPr>
                      <w:rFonts w:hint="eastAsia"/>
                      <w:bCs/>
                      <w:sz w:val="21"/>
                      <w:szCs w:val="21"/>
                    </w:rPr>
                    <w:t>厂，与</w:t>
                  </w:r>
                  <w:r>
                    <w:rPr>
                      <w:bCs/>
                      <w:sz w:val="21"/>
                      <w:szCs w:val="21"/>
                    </w:rPr>
                    <w:t>污水厂</w:t>
                  </w:r>
                  <w:r>
                    <w:rPr>
                      <w:rFonts w:hint="eastAsia"/>
                      <w:bCs/>
                      <w:sz w:val="21"/>
                      <w:szCs w:val="21"/>
                    </w:rPr>
                    <w:t>污泥脱水处理达标后，一并清运至洱源县垃圾填埋场</w:t>
                  </w:r>
                  <w:r>
                    <w:rPr>
                      <w:bCs/>
                      <w:sz w:val="21"/>
                      <w:szCs w:val="21"/>
                    </w:rPr>
                    <w:t>；格栅渣</w:t>
                  </w:r>
                  <w:r>
                    <w:rPr>
                      <w:rFonts w:hint="eastAsia"/>
                      <w:bCs/>
                      <w:sz w:val="21"/>
                      <w:szCs w:val="21"/>
                    </w:rPr>
                    <w:t>、生活垃圾定期收集后，清运至洱源县垃圾填埋场</w:t>
                  </w:r>
                  <w:r>
                    <w:rPr>
                      <w:bCs/>
                      <w:sz w:val="21"/>
                      <w:szCs w:val="21"/>
                    </w:rPr>
                    <w:t>处置</w:t>
                  </w:r>
                </w:p>
              </w:tc>
              <w:tc>
                <w:tcPr>
                  <w:tcW w:w="655" w:type="dxa"/>
                  <w:vAlign w:val="center"/>
                </w:tcPr>
                <w:p>
                  <w:pPr>
                    <w:pStyle w:val="23"/>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526" w:type="dxa"/>
                  <w:gridSpan w:val="2"/>
                  <w:vMerge w:val="continue"/>
                  <w:vAlign w:val="center"/>
                </w:tcPr>
                <w:p>
                  <w:pPr>
                    <w:tabs>
                      <w:tab w:val="left" w:pos="417"/>
                      <w:tab w:val="left" w:pos="3615"/>
                    </w:tabs>
                    <w:jc w:val="center"/>
                    <w:rPr>
                      <w:sz w:val="21"/>
                      <w:szCs w:val="21"/>
                    </w:rPr>
                  </w:pPr>
                </w:p>
              </w:tc>
              <w:tc>
                <w:tcPr>
                  <w:tcW w:w="811" w:type="dxa"/>
                  <w:vAlign w:val="center"/>
                </w:tcPr>
                <w:p>
                  <w:pPr>
                    <w:tabs>
                      <w:tab w:val="left" w:pos="417"/>
                      <w:tab w:val="left" w:pos="3615"/>
                    </w:tabs>
                    <w:jc w:val="center"/>
                    <w:rPr>
                      <w:sz w:val="21"/>
                      <w:szCs w:val="21"/>
                    </w:rPr>
                  </w:pPr>
                  <w:r>
                    <w:rPr>
                      <w:rFonts w:hint="eastAsia"/>
                      <w:sz w:val="21"/>
                      <w:szCs w:val="21"/>
                    </w:rPr>
                    <w:t>危废</w:t>
                  </w:r>
                </w:p>
              </w:tc>
              <w:tc>
                <w:tcPr>
                  <w:tcW w:w="5930" w:type="dxa"/>
                  <w:vAlign w:val="center"/>
                </w:tcPr>
                <w:p>
                  <w:pPr>
                    <w:pStyle w:val="23"/>
                    <w:rPr>
                      <w:sz w:val="21"/>
                      <w:szCs w:val="21"/>
                    </w:rPr>
                  </w:pPr>
                  <w:r>
                    <w:rPr>
                      <w:rFonts w:hint="eastAsia"/>
                      <w:sz w:val="21"/>
                      <w:szCs w:val="21"/>
                    </w:rPr>
                    <w:t>污水厂产生的废机油通过危废暂存间收集后，委托有资质的单位清运处置</w:t>
                  </w:r>
                </w:p>
              </w:tc>
              <w:tc>
                <w:tcPr>
                  <w:tcW w:w="655" w:type="dxa"/>
                  <w:vAlign w:val="center"/>
                </w:tcPr>
                <w:p>
                  <w:pPr>
                    <w:pStyle w:val="23"/>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rFonts w:hint="eastAsia"/>
                      <w:sz w:val="21"/>
                      <w:szCs w:val="21"/>
                    </w:rPr>
                    <w:t>地下水及土壤</w:t>
                  </w:r>
                </w:p>
              </w:tc>
              <w:tc>
                <w:tcPr>
                  <w:tcW w:w="5930" w:type="dxa"/>
                  <w:vAlign w:val="center"/>
                </w:tcPr>
                <w:p>
                  <w:pPr>
                    <w:pStyle w:val="23"/>
                    <w:jc w:val="center"/>
                    <w:rPr>
                      <w:sz w:val="21"/>
                      <w:szCs w:val="21"/>
                    </w:rPr>
                  </w:pPr>
                  <w:r>
                    <w:rPr>
                      <w:rFonts w:hint="eastAsia"/>
                      <w:sz w:val="21"/>
                      <w:szCs w:val="21"/>
                    </w:rPr>
                    <w:t>严格按照工程防渗设计要求施工，并加强日常管理及维护，同时在下游设置监测井</w:t>
                  </w:r>
                </w:p>
              </w:tc>
              <w:tc>
                <w:tcPr>
                  <w:tcW w:w="655" w:type="dxa"/>
                  <w:vAlign w:val="center"/>
                </w:tcPr>
                <w:p>
                  <w:pPr>
                    <w:pStyle w:val="23"/>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rFonts w:hint="eastAsia"/>
                      <w:sz w:val="21"/>
                      <w:szCs w:val="21"/>
                    </w:rPr>
                    <w:t>环境风险</w:t>
                  </w:r>
                </w:p>
              </w:tc>
              <w:tc>
                <w:tcPr>
                  <w:tcW w:w="5930" w:type="dxa"/>
                  <w:vAlign w:val="center"/>
                </w:tcPr>
                <w:p>
                  <w:pPr>
                    <w:pStyle w:val="23"/>
                    <w:jc w:val="center"/>
                    <w:rPr>
                      <w:sz w:val="21"/>
                      <w:szCs w:val="21"/>
                    </w:rPr>
                  </w:pPr>
                  <w:r>
                    <w:rPr>
                      <w:rFonts w:hint="eastAsia"/>
                      <w:sz w:val="21"/>
                      <w:szCs w:val="21"/>
                    </w:rPr>
                    <w:t>药品间和危废暂存间地面和墙面进行防腐防渗处理，厂区内配备相关应急物资</w:t>
                  </w:r>
                </w:p>
              </w:tc>
              <w:tc>
                <w:tcPr>
                  <w:tcW w:w="655" w:type="dxa"/>
                  <w:vAlign w:val="center"/>
                </w:tcPr>
                <w:p>
                  <w:pPr>
                    <w:pStyle w:val="23"/>
                    <w:jc w:val="center"/>
                    <w:rPr>
                      <w:sz w:val="21"/>
                      <w:szCs w:val="21"/>
                    </w:rPr>
                  </w:pPr>
                  <w:r>
                    <w:rPr>
                      <w:rFonts w:hint="eastAsia"/>
                      <w:sz w:val="21"/>
                      <w:szCs w:val="21"/>
                    </w:rPr>
                    <w:t>已建成</w:t>
                  </w:r>
                </w:p>
              </w:tc>
            </w:tr>
          </w:tbl>
          <w:p>
            <w:pPr>
              <w:numPr>
                <w:ilvl w:val="0"/>
                <w:numId w:val="2"/>
              </w:numPr>
              <w:adjustRightInd w:val="0"/>
              <w:snapToGrid w:val="0"/>
              <w:spacing w:beforeLines="50" w:line="360" w:lineRule="auto"/>
              <w:ind w:firstLine="482" w:firstLineChars="200"/>
              <w:rPr>
                <w:b/>
                <w:bCs/>
                <w:szCs w:val="24"/>
              </w:rPr>
            </w:pPr>
            <w:r>
              <w:rPr>
                <w:rFonts w:hint="eastAsia"/>
                <w:b/>
                <w:bCs/>
                <w:szCs w:val="24"/>
              </w:rPr>
              <w:t>主要构筑物及工艺设备</w:t>
            </w:r>
          </w:p>
          <w:p>
            <w:pPr>
              <w:adjustRightInd w:val="0"/>
              <w:snapToGrid w:val="0"/>
              <w:spacing w:line="360" w:lineRule="auto"/>
              <w:ind w:firstLine="482" w:firstLineChars="200"/>
              <w:rPr>
                <w:b/>
                <w:bCs/>
                <w:sz w:val="21"/>
                <w:szCs w:val="16"/>
              </w:rPr>
            </w:pPr>
            <w:r>
              <w:rPr>
                <w:rFonts w:hint="eastAsia"/>
                <w:b/>
                <w:bCs/>
                <w:szCs w:val="32"/>
              </w:rPr>
              <w:t>（1）邓川污水处理厂</w:t>
            </w:r>
          </w:p>
          <w:p>
            <w:pPr>
              <w:pStyle w:val="2"/>
              <w:tabs>
                <w:tab w:val="left" w:pos="3930"/>
              </w:tabs>
              <w:kinsoku w:val="0"/>
              <w:overflowPunct w:val="0"/>
              <w:adjustRightInd w:val="0"/>
              <w:snapToGrid w:val="0"/>
              <w:spacing w:before="44" w:line="360" w:lineRule="auto"/>
              <w:ind w:right="108"/>
              <w:rPr>
                <w:b/>
                <w:bCs/>
                <w:sz w:val="21"/>
                <w:szCs w:val="16"/>
              </w:rPr>
            </w:pPr>
            <w:r>
              <w:rPr>
                <w:b/>
                <w:bCs/>
                <w:sz w:val="21"/>
                <w:szCs w:val="16"/>
              </w:rPr>
              <w:t>表</w:t>
            </w:r>
            <w:r>
              <w:rPr>
                <w:b/>
                <w:bCs/>
                <w:spacing w:val="-69"/>
                <w:sz w:val="21"/>
                <w:szCs w:val="16"/>
              </w:rPr>
              <w:t xml:space="preserve"> </w:t>
            </w:r>
            <w:r>
              <w:rPr>
                <w:rFonts w:hint="eastAsia"/>
                <w:b/>
                <w:bCs/>
                <w:sz w:val="21"/>
                <w:szCs w:val="16"/>
              </w:rPr>
              <w:t xml:space="preserve">1-7 </w:t>
            </w:r>
            <w:r>
              <w:rPr>
                <w:b/>
                <w:bCs/>
                <w:sz w:val="21"/>
                <w:szCs w:val="16"/>
              </w:rPr>
              <w:t>主要建构筑物一览表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864"/>
              <w:gridCol w:w="2047"/>
              <w:gridCol w:w="1561"/>
              <w:gridCol w:w="697"/>
              <w:gridCol w:w="732"/>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97" w:type="dxa"/>
                  <w:vAlign w:val="center"/>
                </w:tcPr>
                <w:p>
                  <w:pPr>
                    <w:tabs>
                      <w:tab w:val="left" w:pos="417"/>
                      <w:tab w:val="left" w:pos="3615"/>
                    </w:tabs>
                    <w:jc w:val="center"/>
                    <w:rPr>
                      <w:b/>
                      <w:bCs/>
                      <w:sz w:val="21"/>
                      <w:szCs w:val="21"/>
                    </w:rPr>
                  </w:pPr>
                  <w:r>
                    <w:rPr>
                      <w:b/>
                      <w:bCs/>
                      <w:sz w:val="21"/>
                      <w:szCs w:val="21"/>
                    </w:rPr>
                    <w:t>序号</w:t>
                  </w:r>
                </w:p>
              </w:tc>
              <w:tc>
                <w:tcPr>
                  <w:tcW w:w="1864" w:type="dxa"/>
                  <w:vAlign w:val="center"/>
                </w:tcPr>
                <w:p>
                  <w:pPr>
                    <w:tabs>
                      <w:tab w:val="left" w:pos="417"/>
                      <w:tab w:val="left" w:pos="3615"/>
                    </w:tabs>
                    <w:jc w:val="center"/>
                    <w:rPr>
                      <w:b/>
                      <w:bCs/>
                      <w:sz w:val="21"/>
                      <w:szCs w:val="21"/>
                    </w:rPr>
                  </w:pPr>
                  <w:r>
                    <w:rPr>
                      <w:b/>
                      <w:bCs/>
                      <w:sz w:val="21"/>
                      <w:szCs w:val="21"/>
                    </w:rPr>
                    <w:t>名称</w:t>
                  </w:r>
                </w:p>
              </w:tc>
              <w:tc>
                <w:tcPr>
                  <w:tcW w:w="2047" w:type="dxa"/>
                  <w:vAlign w:val="center"/>
                </w:tcPr>
                <w:p>
                  <w:pPr>
                    <w:tabs>
                      <w:tab w:val="left" w:pos="417"/>
                      <w:tab w:val="left" w:pos="3615"/>
                    </w:tabs>
                    <w:jc w:val="center"/>
                    <w:rPr>
                      <w:b/>
                      <w:bCs/>
                      <w:sz w:val="21"/>
                      <w:szCs w:val="21"/>
                    </w:rPr>
                  </w:pPr>
                  <w:r>
                    <w:rPr>
                      <w:b/>
                      <w:bCs/>
                      <w:sz w:val="21"/>
                      <w:szCs w:val="21"/>
                    </w:rPr>
                    <w:t>规格</w:t>
                  </w:r>
                </w:p>
              </w:tc>
              <w:tc>
                <w:tcPr>
                  <w:tcW w:w="1561" w:type="dxa"/>
                  <w:vAlign w:val="center"/>
                </w:tcPr>
                <w:p>
                  <w:pPr>
                    <w:tabs>
                      <w:tab w:val="left" w:pos="417"/>
                      <w:tab w:val="left" w:pos="3615"/>
                    </w:tabs>
                    <w:jc w:val="center"/>
                    <w:rPr>
                      <w:b/>
                      <w:bCs/>
                      <w:sz w:val="21"/>
                      <w:szCs w:val="21"/>
                    </w:rPr>
                  </w:pPr>
                  <w:r>
                    <w:rPr>
                      <w:b/>
                      <w:bCs/>
                      <w:sz w:val="21"/>
                      <w:szCs w:val="21"/>
                    </w:rPr>
                    <w:t>材料</w:t>
                  </w:r>
                </w:p>
              </w:tc>
              <w:tc>
                <w:tcPr>
                  <w:tcW w:w="697" w:type="dxa"/>
                  <w:vAlign w:val="center"/>
                </w:tcPr>
                <w:p>
                  <w:pPr>
                    <w:tabs>
                      <w:tab w:val="left" w:pos="417"/>
                      <w:tab w:val="left" w:pos="3615"/>
                    </w:tabs>
                    <w:jc w:val="center"/>
                    <w:rPr>
                      <w:b/>
                      <w:bCs/>
                      <w:sz w:val="21"/>
                      <w:szCs w:val="21"/>
                    </w:rPr>
                  </w:pPr>
                  <w:r>
                    <w:rPr>
                      <w:b/>
                      <w:bCs/>
                      <w:sz w:val="21"/>
                      <w:szCs w:val="21"/>
                    </w:rPr>
                    <w:t>单位</w:t>
                  </w:r>
                </w:p>
              </w:tc>
              <w:tc>
                <w:tcPr>
                  <w:tcW w:w="732" w:type="dxa"/>
                  <w:vAlign w:val="center"/>
                </w:tcPr>
                <w:p>
                  <w:pPr>
                    <w:tabs>
                      <w:tab w:val="left" w:pos="417"/>
                      <w:tab w:val="left" w:pos="3615"/>
                    </w:tabs>
                    <w:jc w:val="center"/>
                    <w:rPr>
                      <w:b/>
                      <w:bCs/>
                      <w:sz w:val="21"/>
                      <w:szCs w:val="21"/>
                    </w:rPr>
                  </w:pPr>
                  <w:r>
                    <w:rPr>
                      <w:b/>
                      <w:bCs/>
                      <w:sz w:val="21"/>
                      <w:szCs w:val="21"/>
                    </w:rPr>
                    <w:t>数量</w:t>
                  </w:r>
                </w:p>
              </w:tc>
              <w:tc>
                <w:tcPr>
                  <w:tcW w:w="869" w:type="dxa"/>
                  <w:vAlign w:val="center"/>
                </w:tcPr>
                <w:p>
                  <w:pPr>
                    <w:tabs>
                      <w:tab w:val="left" w:pos="417"/>
                      <w:tab w:val="left" w:pos="3615"/>
                    </w:tabs>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 w:type="dxa"/>
                  <w:vAlign w:val="center"/>
                </w:tcPr>
                <w:p>
                  <w:pPr>
                    <w:tabs>
                      <w:tab w:val="left" w:pos="417"/>
                      <w:tab w:val="left" w:pos="3615"/>
                    </w:tabs>
                    <w:jc w:val="center"/>
                    <w:rPr>
                      <w:sz w:val="21"/>
                      <w:szCs w:val="21"/>
                    </w:rPr>
                  </w:pPr>
                  <w:r>
                    <w:rPr>
                      <w:sz w:val="21"/>
                      <w:szCs w:val="21"/>
                    </w:rPr>
                    <w:t>1</w:t>
                  </w:r>
                </w:p>
              </w:tc>
              <w:tc>
                <w:tcPr>
                  <w:tcW w:w="1864" w:type="dxa"/>
                  <w:vAlign w:val="center"/>
                </w:tcPr>
                <w:p>
                  <w:pPr>
                    <w:tabs>
                      <w:tab w:val="left" w:pos="417"/>
                      <w:tab w:val="left" w:pos="3615"/>
                    </w:tabs>
                    <w:jc w:val="center"/>
                    <w:rPr>
                      <w:sz w:val="21"/>
                      <w:szCs w:val="21"/>
                    </w:rPr>
                  </w:pPr>
                  <w:r>
                    <w:rPr>
                      <w:sz w:val="21"/>
                      <w:szCs w:val="21"/>
                    </w:rPr>
                    <w:t>格栅井</w:t>
                  </w:r>
                </w:p>
              </w:tc>
              <w:tc>
                <w:tcPr>
                  <w:tcW w:w="2047" w:type="dxa"/>
                  <w:vAlign w:val="center"/>
                </w:tcPr>
                <w:p>
                  <w:pPr>
                    <w:tabs>
                      <w:tab w:val="left" w:pos="417"/>
                      <w:tab w:val="left" w:pos="3615"/>
                    </w:tabs>
                    <w:jc w:val="center"/>
                    <w:rPr>
                      <w:sz w:val="21"/>
                      <w:szCs w:val="21"/>
                    </w:rPr>
                  </w:pPr>
                  <w:r>
                    <w:rPr>
                      <w:sz w:val="21"/>
                      <w:szCs w:val="21"/>
                    </w:rPr>
                    <w:t>8.04×4.7×6.85m</w:t>
                  </w:r>
                </w:p>
              </w:tc>
              <w:tc>
                <w:tcPr>
                  <w:tcW w:w="1561" w:type="dxa"/>
                  <w:vAlign w:val="center"/>
                </w:tcPr>
                <w:p>
                  <w:pPr>
                    <w:tabs>
                      <w:tab w:val="left" w:pos="417"/>
                      <w:tab w:val="left" w:pos="3615"/>
                    </w:tabs>
                    <w:jc w:val="center"/>
                    <w:rPr>
                      <w:sz w:val="21"/>
                      <w:szCs w:val="21"/>
                    </w:rPr>
                  </w:pPr>
                  <w:r>
                    <w:rPr>
                      <w:sz w:val="21"/>
                      <w:szCs w:val="21"/>
                    </w:rPr>
                    <w:t>钢筋混凝土</w:t>
                  </w:r>
                </w:p>
              </w:tc>
              <w:tc>
                <w:tcPr>
                  <w:tcW w:w="697" w:type="dxa"/>
                  <w:vAlign w:val="center"/>
                </w:tcPr>
                <w:p>
                  <w:pPr>
                    <w:tabs>
                      <w:tab w:val="left" w:pos="417"/>
                      <w:tab w:val="left" w:pos="3615"/>
                    </w:tabs>
                    <w:jc w:val="center"/>
                    <w:rPr>
                      <w:sz w:val="21"/>
                      <w:szCs w:val="21"/>
                    </w:rPr>
                  </w:pPr>
                  <w:r>
                    <w:rPr>
                      <w:sz w:val="21"/>
                      <w:szCs w:val="21"/>
                    </w:rPr>
                    <w:t>座</w:t>
                  </w:r>
                </w:p>
              </w:tc>
              <w:tc>
                <w:tcPr>
                  <w:tcW w:w="732" w:type="dxa"/>
                  <w:vAlign w:val="center"/>
                </w:tcPr>
                <w:p>
                  <w:pPr>
                    <w:tabs>
                      <w:tab w:val="left" w:pos="417"/>
                      <w:tab w:val="left" w:pos="3615"/>
                    </w:tabs>
                    <w:jc w:val="center"/>
                    <w:rPr>
                      <w:sz w:val="21"/>
                      <w:szCs w:val="21"/>
                    </w:rPr>
                  </w:pPr>
                  <w:r>
                    <w:rPr>
                      <w:sz w:val="21"/>
                      <w:szCs w:val="21"/>
                    </w:rPr>
                    <w:t>1</w:t>
                  </w:r>
                </w:p>
              </w:tc>
              <w:tc>
                <w:tcPr>
                  <w:tcW w:w="869" w:type="dxa"/>
                  <w:vAlign w:val="center"/>
                </w:tcPr>
                <w:p>
                  <w:pPr>
                    <w:tabs>
                      <w:tab w:val="left" w:pos="417"/>
                      <w:tab w:val="left" w:pos="3615"/>
                    </w:tabs>
                    <w:jc w:val="center"/>
                    <w:rPr>
                      <w:sz w:val="21"/>
                      <w:szCs w:val="21"/>
                    </w:rPr>
                  </w:pPr>
                  <w:r>
                    <w:rPr>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 w:type="dxa"/>
                  <w:vAlign w:val="center"/>
                </w:tcPr>
                <w:p>
                  <w:pPr>
                    <w:tabs>
                      <w:tab w:val="left" w:pos="417"/>
                      <w:tab w:val="left" w:pos="3615"/>
                    </w:tabs>
                    <w:jc w:val="center"/>
                    <w:rPr>
                      <w:sz w:val="21"/>
                      <w:szCs w:val="21"/>
                    </w:rPr>
                  </w:pPr>
                  <w:r>
                    <w:rPr>
                      <w:sz w:val="21"/>
                      <w:szCs w:val="21"/>
                    </w:rPr>
                    <w:t>2</w:t>
                  </w:r>
                </w:p>
              </w:tc>
              <w:tc>
                <w:tcPr>
                  <w:tcW w:w="1864" w:type="dxa"/>
                  <w:vAlign w:val="center"/>
                </w:tcPr>
                <w:p>
                  <w:pPr>
                    <w:tabs>
                      <w:tab w:val="left" w:pos="417"/>
                      <w:tab w:val="left" w:pos="3615"/>
                    </w:tabs>
                    <w:jc w:val="center"/>
                    <w:rPr>
                      <w:sz w:val="21"/>
                      <w:szCs w:val="21"/>
                    </w:rPr>
                  </w:pPr>
                  <w:r>
                    <w:rPr>
                      <w:sz w:val="21"/>
                      <w:szCs w:val="21"/>
                    </w:rPr>
                    <w:t>提升泵房</w:t>
                  </w:r>
                </w:p>
              </w:tc>
              <w:tc>
                <w:tcPr>
                  <w:tcW w:w="2047" w:type="dxa"/>
                  <w:vAlign w:val="center"/>
                </w:tcPr>
                <w:p>
                  <w:pPr>
                    <w:tabs>
                      <w:tab w:val="left" w:pos="417"/>
                      <w:tab w:val="left" w:pos="3615"/>
                    </w:tabs>
                    <w:jc w:val="center"/>
                    <w:rPr>
                      <w:sz w:val="21"/>
                      <w:szCs w:val="21"/>
                    </w:rPr>
                  </w:pPr>
                  <w:r>
                    <w:rPr>
                      <w:sz w:val="21"/>
                      <w:szCs w:val="21"/>
                    </w:rPr>
                    <w:t>2.4×4.7×8.18m</w:t>
                  </w:r>
                </w:p>
              </w:tc>
              <w:tc>
                <w:tcPr>
                  <w:tcW w:w="1561" w:type="dxa"/>
                  <w:vAlign w:val="center"/>
                </w:tcPr>
                <w:p>
                  <w:pPr>
                    <w:tabs>
                      <w:tab w:val="left" w:pos="417"/>
                      <w:tab w:val="left" w:pos="3615"/>
                    </w:tabs>
                    <w:jc w:val="center"/>
                    <w:rPr>
                      <w:sz w:val="21"/>
                      <w:szCs w:val="21"/>
                    </w:rPr>
                  </w:pPr>
                  <w:r>
                    <w:rPr>
                      <w:sz w:val="21"/>
                      <w:szCs w:val="21"/>
                    </w:rPr>
                    <w:t>钢筋混凝土</w:t>
                  </w:r>
                </w:p>
              </w:tc>
              <w:tc>
                <w:tcPr>
                  <w:tcW w:w="697" w:type="dxa"/>
                  <w:vAlign w:val="center"/>
                </w:tcPr>
                <w:p>
                  <w:pPr>
                    <w:tabs>
                      <w:tab w:val="left" w:pos="417"/>
                      <w:tab w:val="left" w:pos="3615"/>
                    </w:tabs>
                    <w:jc w:val="center"/>
                    <w:rPr>
                      <w:sz w:val="21"/>
                      <w:szCs w:val="21"/>
                    </w:rPr>
                  </w:pPr>
                  <w:r>
                    <w:rPr>
                      <w:sz w:val="21"/>
                      <w:szCs w:val="21"/>
                    </w:rPr>
                    <w:t>座</w:t>
                  </w:r>
                </w:p>
              </w:tc>
              <w:tc>
                <w:tcPr>
                  <w:tcW w:w="732" w:type="dxa"/>
                  <w:vAlign w:val="center"/>
                </w:tcPr>
                <w:p>
                  <w:pPr>
                    <w:tabs>
                      <w:tab w:val="left" w:pos="417"/>
                      <w:tab w:val="left" w:pos="3615"/>
                    </w:tabs>
                    <w:jc w:val="center"/>
                    <w:rPr>
                      <w:sz w:val="21"/>
                      <w:szCs w:val="21"/>
                    </w:rPr>
                  </w:pPr>
                  <w:r>
                    <w:rPr>
                      <w:sz w:val="21"/>
                      <w:szCs w:val="21"/>
                    </w:rPr>
                    <w:t>1</w:t>
                  </w:r>
                </w:p>
              </w:tc>
              <w:tc>
                <w:tcPr>
                  <w:tcW w:w="869" w:type="dxa"/>
                  <w:vAlign w:val="center"/>
                </w:tcPr>
                <w:p>
                  <w:pPr>
                    <w:tabs>
                      <w:tab w:val="left" w:pos="417"/>
                      <w:tab w:val="left" w:pos="3615"/>
                    </w:tabs>
                    <w:jc w:val="center"/>
                    <w:rPr>
                      <w:sz w:val="21"/>
                      <w:szCs w:val="21"/>
                    </w:rPr>
                  </w:pPr>
                  <w:r>
                    <w:rPr>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 w:type="dxa"/>
                  <w:vAlign w:val="center"/>
                </w:tcPr>
                <w:p>
                  <w:pPr>
                    <w:tabs>
                      <w:tab w:val="left" w:pos="417"/>
                      <w:tab w:val="left" w:pos="3615"/>
                    </w:tabs>
                    <w:jc w:val="center"/>
                    <w:rPr>
                      <w:sz w:val="21"/>
                      <w:szCs w:val="21"/>
                    </w:rPr>
                  </w:pPr>
                  <w:r>
                    <w:rPr>
                      <w:sz w:val="21"/>
                      <w:szCs w:val="21"/>
                    </w:rPr>
                    <w:t>3</w:t>
                  </w:r>
                </w:p>
              </w:tc>
              <w:tc>
                <w:tcPr>
                  <w:tcW w:w="1864" w:type="dxa"/>
                  <w:vAlign w:val="center"/>
                </w:tcPr>
                <w:p>
                  <w:pPr>
                    <w:tabs>
                      <w:tab w:val="left" w:pos="417"/>
                      <w:tab w:val="left" w:pos="3615"/>
                    </w:tabs>
                    <w:jc w:val="center"/>
                    <w:rPr>
                      <w:sz w:val="21"/>
                      <w:szCs w:val="21"/>
                    </w:rPr>
                  </w:pPr>
                  <w:r>
                    <w:rPr>
                      <w:sz w:val="21"/>
                      <w:szCs w:val="21"/>
                    </w:rPr>
                    <w:t>调节池</w:t>
                  </w:r>
                </w:p>
              </w:tc>
              <w:tc>
                <w:tcPr>
                  <w:tcW w:w="2047" w:type="dxa"/>
                  <w:vAlign w:val="center"/>
                </w:tcPr>
                <w:p>
                  <w:pPr>
                    <w:tabs>
                      <w:tab w:val="left" w:pos="417"/>
                      <w:tab w:val="left" w:pos="3615"/>
                    </w:tabs>
                    <w:jc w:val="center"/>
                    <w:rPr>
                      <w:sz w:val="21"/>
                      <w:szCs w:val="21"/>
                    </w:rPr>
                  </w:pPr>
                  <w:r>
                    <w:rPr>
                      <w:sz w:val="21"/>
                      <w:szCs w:val="21"/>
                    </w:rPr>
                    <w:t>12.35×8.5×5.5m</w:t>
                  </w:r>
                </w:p>
              </w:tc>
              <w:tc>
                <w:tcPr>
                  <w:tcW w:w="1561" w:type="dxa"/>
                  <w:vAlign w:val="center"/>
                </w:tcPr>
                <w:p>
                  <w:pPr>
                    <w:tabs>
                      <w:tab w:val="left" w:pos="417"/>
                      <w:tab w:val="left" w:pos="3615"/>
                    </w:tabs>
                    <w:jc w:val="center"/>
                    <w:rPr>
                      <w:sz w:val="21"/>
                      <w:szCs w:val="21"/>
                    </w:rPr>
                  </w:pPr>
                  <w:r>
                    <w:rPr>
                      <w:sz w:val="21"/>
                      <w:szCs w:val="21"/>
                    </w:rPr>
                    <w:t>钢筋混凝土</w:t>
                  </w:r>
                </w:p>
              </w:tc>
              <w:tc>
                <w:tcPr>
                  <w:tcW w:w="697" w:type="dxa"/>
                  <w:vAlign w:val="center"/>
                </w:tcPr>
                <w:p>
                  <w:pPr>
                    <w:tabs>
                      <w:tab w:val="left" w:pos="417"/>
                      <w:tab w:val="left" w:pos="3615"/>
                    </w:tabs>
                    <w:jc w:val="center"/>
                    <w:rPr>
                      <w:sz w:val="21"/>
                      <w:szCs w:val="21"/>
                    </w:rPr>
                  </w:pPr>
                  <w:r>
                    <w:rPr>
                      <w:sz w:val="21"/>
                      <w:szCs w:val="21"/>
                    </w:rPr>
                    <w:t>座</w:t>
                  </w:r>
                </w:p>
              </w:tc>
              <w:tc>
                <w:tcPr>
                  <w:tcW w:w="732" w:type="dxa"/>
                  <w:vAlign w:val="center"/>
                </w:tcPr>
                <w:p>
                  <w:pPr>
                    <w:tabs>
                      <w:tab w:val="left" w:pos="417"/>
                      <w:tab w:val="left" w:pos="3615"/>
                    </w:tabs>
                    <w:jc w:val="center"/>
                    <w:rPr>
                      <w:sz w:val="21"/>
                      <w:szCs w:val="21"/>
                    </w:rPr>
                  </w:pPr>
                  <w:r>
                    <w:rPr>
                      <w:sz w:val="21"/>
                      <w:szCs w:val="21"/>
                    </w:rPr>
                    <w:t>1</w:t>
                  </w:r>
                </w:p>
              </w:tc>
              <w:tc>
                <w:tcPr>
                  <w:tcW w:w="869" w:type="dxa"/>
                  <w:vAlign w:val="center"/>
                </w:tcPr>
                <w:p>
                  <w:pPr>
                    <w:tabs>
                      <w:tab w:val="left" w:pos="417"/>
                      <w:tab w:val="left" w:pos="3615"/>
                    </w:tabs>
                    <w:jc w:val="center"/>
                    <w:rPr>
                      <w:sz w:val="21"/>
                      <w:szCs w:val="21"/>
                    </w:rPr>
                  </w:pPr>
                  <w:r>
                    <w:rPr>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 w:type="dxa"/>
                  <w:vAlign w:val="center"/>
                </w:tcPr>
                <w:p>
                  <w:pPr>
                    <w:tabs>
                      <w:tab w:val="left" w:pos="417"/>
                      <w:tab w:val="left" w:pos="3615"/>
                    </w:tabs>
                    <w:jc w:val="center"/>
                    <w:rPr>
                      <w:sz w:val="21"/>
                      <w:szCs w:val="21"/>
                    </w:rPr>
                  </w:pPr>
                  <w:r>
                    <w:rPr>
                      <w:sz w:val="21"/>
                      <w:szCs w:val="21"/>
                    </w:rPr>
                    <w:t>4</w:t>
                  </w:r>
                </w:p>
              </w:tc>
              <w:tc>
                <w:tcPr>
                  <w:tcW w:w="1864" w:type="dxa"/>
                  <w:vAlign w:val="center"/>
                </w:tcPr>
                <w:p>
                  <w:pPr>
                    <w:tabs>
                      <w:tab w:val="left" w:pos="417"/>
                      <w:tab w:val="left" w:pos="3615"/>
                    </w:tabs>
                    <w:jc w:val="center"/>
                    <w:rPr>
                      <w:sz w:val="21"/>
                      <w:szCs w:val="21"/>
                    </w:rPr>
                  </w:pPr>
                  <w:r>
                    <w:rPr>
                      <w:sz w:val="21"/>
                      <w:szCs w:val="21"/>
                    </w:rPr>
                    <w:t>CWT一体化设备</w:t>
                  </w:r>
                </w:p>
              </w:tc>
              <w:tc>
                <w:tcPr>
                  <w:tcW w:w="2047" w:type="dxa"/>
                  <w:vAlign w:val="center"/>
                </w:tcPr>
                <w:p>
                  <w:pPr>
                    <w:tabs>
                      <w:tab w:val="left" w:pos="417"/>
                      <w:tab w:val="left" w:pos="3615"/>
                    </w:tabs>
                    <w:jc w:val="center"/>
                    <w:rPr>
                      <w:sz w:val="21"/>
                      <w:szCs w:val="21"/>
                    </w:rPr>
                  </w:pPr>
                  <w:r>
                    <w:rPr>
                      <w:sz w:val="21"/>
                      <w:szCs w:val="21"/>
                    </w:rPr>
                    <w:t>14.0×2.5×3.0m</w:t>
                  </w:r>
                </w:p>
              </w:tc>
              <w:tc>
                <w:tcPr>
                  <w:tcW w:w="1561" w:type="dxa"/>
                  <w:vAlign w:val="center"/>
                </w:tcPr>
                <w:p>
                  <w:pPr>
                    <w:tabs>
                      <w:tab w:val="left" w:pos="417"/>
                      <w:tab w:val="left" w:pos="3615"/>
                    </w:tabs>
                    <w:jc w:val="center"/>
                    <w:rPr>
                      <w:sz w:val="21"/>
                      <w:szCs w:val="21"/>
                    </w:rPr>
                  </w:pPr>
                  <w:r>
                    <w:rPr>
                      <w:sz w:val="21"/>
                      <w:szCs w:val="21"/>
                    </w:rPr>
                    <w:t>钢制</w:t>
                  </w:r>
                </w:p>
              </w:tc>
              <w:tc>
                <w:tcPr>
                  <w:tcW w:w="697" w:type="dxa"/>
                  <w:vAlign w:val="center"/>
                </w:tcPr>
                <w:p>
                  <w:pPr>
                    <w:tabs>
                      <w:tab w:val="left" w:pos="417"/>
                      <w:tab w:val="left" w:pos="3615"/>
                    </w:tabs>
                    <w:jc w:val="center"/>
                    <w:rPr>
                      <w:sz w:val="21"/>
                      <w:szCs w:val="21"/>
                    </w:rPr>
                  </w:pPr>
                  <w:r>
                    <w:rPr>
                      <w:sz w:val="21"/>
                      <w:szCs w:val="21"/>
                    </w:rPr>
                    <w:t>套</w:t>
                  </w:r>
                </w:p>
              </w:tc>
              <w:tc>
                <w:tcPr>
                  <w:tcW w:w="732" w:type="dxa"/>
                  <w:vAlign w:val="center"/>
                </w:tcPr>
                <w:p>
                  <w:pPr>
                    <w:tabs>
                      <w:tab w:val="left" w:pos="417"/>
                      <w:tab w:val="left" w:pos="3615"/>
                    </w:tabs>
                    <w:jc w:val="center"/>
                    <w:rPr>
                      <w:sz w:val="21"/>
                      <w:szCs w:val="21"/>
                    </w:rPr>
                  </w:pPr>
                  <w:r>
                    <w:rPr>
                      <w:sz w:val="21"/>
                      <w:szCs w:val="21"/>
                    </w:rPr>
                    <w:t>4</w:t>
                  </w:r>
                </w:p>
              </w:tc>
              <w:tc>
                <w:tcPr>
                  <w:tcW w:w="869" w:type="dxa"/>
                  <w:vAlign w:val="center"/>
                </w:tcPr>
                <w:p>
                  <w:pPr>
                    <w:tabs>
                      <w:tab w:val="left" w:pos="417"/>
                      <w:tab w:val="left" w:pos="3615"/>
                    </w:tabs>
                    <w:jc w:val="center"/>
                    <w:rPr>
                      <w:sz w:val="21"/>
                      <w:szCs w:val="21"/>
                    </w:rPr>
                  </w:pPr>
                  <w:r>
                    <w:rPr>
                      <w:sz w:val="21"/>
                      <w:szCs w:val="21"/>
                    </w:rPr>
                    <w:t>新建</w:t>
                  </w:r>
                </w:p>
              </w:tc>
            </w:tr>
          </w:tbl>
          <w:p>
            <w:pPr>
              <w:pStyle w:val="2"/>
              <w:tabs>
                <w:tab w:val="left" w:pos="3930"/>
              </w:tabs>
              <w:kinsoku w:val="0"/>
              <w:overflowPunct w:val="0"/>
              <w:spacing w:before="44" w:line="360" w:lineRule="auto"/>
              <w:ind w:right="108"/>
              <w:rPr>
                <w:b/>
                <w:bCs/>
                <w:sz w:val="21"/>
                <w:szCs w:val="16"/>
              </w:rPr>
            </w:pPr>
            <w:r>
              <w:rPr>
                <w:b/>
                <w:bCs/>
                <w:sz w:val="21"/>
                <w:szCs w:val="16"/>
              </w:rPr>
              <w:t>表</w:t>
            </w:r>
            <w:r>
              <w:rPr>
                <w:b/>
                <w:bCs/>
                <w:spacing w:val="-69"/>
                <w:sz w:val="21"/>
                <w:szCs w:val="16"/>
              </w:rPr>
              <w:t xml:space="preserve"> </w:t>
            </w:r>
            <w:r>
              <w:rPr>
                <w:rFonts w:hint="eastAsia"/>
                <w:b/>
                <w:bCs/>
                <w:sz w:val="21"/>
                <w:szCs w:val="16"/>
              </w:rPr>
              <w:t xml:space="preserve">1-8 </w:t>
            </w:r>
            <w:r>
              <w:rPr>
                <w:b/>
                <w:bCs/>
                <w:sz w:val="21"/>
                <w:szCs w:val="16"/>
              </w:rPr>
              <w:t>主要</w:t>
            </w:r>
            <w:r>
              <w:rPr>
                <w:rFonts w:hint="eastAsia"/>
                <w:b/>
                <w:bCs/>
                <w:sz w:val="21"/>
                <w:szCs w:val="16"/>
              </w:rPr>
              <w:t>工艺设备</w:t>
            </w:r>
            <w:r>
              <w:rPr>
                <w:b/>
                <w:bCs/>
                <w:sz w:val="21"/>
                <w:szCs w:val="16"/>
              </w:rPr>
              <w:t>一览表</w:t>
            </w:r>
          </w:p>
          <w:tbl>
            <w:tblPr>
              <w:tblStyle w:val="37"/>
              <w:tblW w:w="0" w:type="auto"/>
              <w:tblInd w:w="5" w:type="dxa"/>
              <w:tblLayout w:type="fixed"/>
              <w:tblCellMar>
                <w:top w:w="0" w:type="dxa"/>
                <w:left w:w="0" w:type="dxa"/>
                <w:bottom w:w="0" w:type="dxa"/>
                <w:right w:w="0" w:type="dxa"/>
              </w:tblCellMar>
            </w:tblPr>
            <w:tblGrid>
              <w:gridCol w:w="678"/>
              <w:gridCol w:w="1564"/>
              <w:gridCol w:w="2393"/>
              <w:gridCol w:w="711"/>
              <w:gridCol w:w="659"/>
              <w:gridCol w:w="2584"/>
            </w:tblGrid>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b/>
                      <w:bCs/>
                      <w:sz w:val="21"/>
                      <w:szCs w:val="21"/>
                    </w:rPr>
                    <w:t>序号</w:t>
                  </w:r>
                </w:p>
              </w:tc>
              <w:tc>
                <w:tcPr>
                  <w:tcW w:w="1564"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工程内容</w:t>
                  </w:r>
                </w:p>
              </w:tc>
              <w:tc>
                <w:tcPr>
                  <w:tcW w:w="2393"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规格</w:t>
                  </w:r>
                </w:p>
              </w:tc>
              <w:tc>
                <w:tcPr>
                  <w:tcW w:w="711"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单位</w:t>
                  </w:r>
                </w:p>
              </w:tc>
              <w:tc>
                <w:tcPr>
                  <w:tcW w:w="659"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数量</w:t>
                  </w:r>
                </w:p>
              </w:tc>
              <w:tc>
                <w:tcPr>
                  <w:tcW w:w="2584"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备注</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回转式机械格栅</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栅间距3mm，渠深6.85m</w:t>
                  </w:r>
                </w:p>
                <w:p>
                  <w:pPr>
                    <w:tabs>
                      <w:tab w:val="left" w:pos="417"/>
                      <w:tab w:val="left" w:pos="3615"/>
                    </w:tabs>
                    <w:jc w:val="center"/>
                    <w:rPr>
                      <w:sz w:val="21"/>
                      <w:szCs w:val="21"/>
                    </w:rPr>
                  </w:pPr>
                  <w:r>
                    <w:rPr>
                      <w:rFonts w:hint="eastAsia"/>
                      <w:sz w:val="21"/>
                      <w:szCs w:val="21"/>
                    </w:rPr>
                    <w:t>渠宽1.0m，功率1.1kw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1套</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将格栅渠更换原有栅间距为6mm的回转式格栅除污机</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叠螺脱水机</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处理能力60-100kg-DS/h，功率3.8kw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2584" w:type="dxa"/>
                  <w:vMerge w:val="restart"/>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将脱水机房内带式污泥脱水机更换为叠螺脱水机，更换PAM加药装置；</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PAM加药机</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制备能力500L/h，功率为1.8kw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2584" w:type="dxa"/>
                  <w:vMerge w:val="continue"/>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加药螺杆泵</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流量750L/h，扬程30m，功率0.75kw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1用1备</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5</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新建计量井</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平面尺寸φ1.0m，深度1.0m</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座</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6</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电磁流量计</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量程 0～200m</w:t>
                  </w:r>
                  <w:r>
                    <w:rPr>
                      <w:rFonts w:hint="eastAsia"/>
                      <w:sz w:val="21"/>
                      <w:szCs w:val="21"/>
                      <w:vertAlign w:val="superscript"/>
                    </w:rPr>
                    <w:t>3</w:t>
                  </w:r>
                  <w:r>
                    <w:rPr>
                      <w:rFonts w:hint="eastAsia"/>
                      <w:sz w:val="21"/>
                      <w:szCs w:val="21"/>
                    </w:rPr>
                    <w:t>/h，输出4～20mA</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7</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在线监测仪表</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包含进出水取样泵、数采仪和自动采样器等</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套</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新增进、出水在线监测仪表各1套</w:t>
                  </w:r>
                </w:p>
              </w:tc>
            </w:tr>
          </w:tbl>
          <w:p>
            <w:pPr>
              <w:adjustRightInd w:val="0"/>
              <w:snapToGrid w:val="0"/>
              <w:spacing w:beforeLines="50" w:line="360" w:lineRule="auto"/>
              <w:ind w:left="480" w:leftChars="200"/>
              <w:rPr>
                <w:b/>
                <w:bCs/>
                <w:sz w:val="21"/>
                <w:szCs w:val="16"/>
              </w:rPr>
            </w:pPr>
            <w:r>
              <w:rPr>
                <w:rFonts w:hint="eastAsia"/>
                <w:b/>
                <w:bCs/>
                <w:szCs w:val="32"/>
              </w:rPr>
              <w:t>（2）右所污水处理厂</w:t>
            </w:r>
          </w:p>
          <w:p>
            <w:pPr>
              <w:pStyle w:val="2"/>
              <w:tabs>
                <w:tab w:val="left" w:pos="3930"/>
              </w:tabs>
              <w:kinsoku w:val="0"/>
              <w:overflowPunct w:val="0"/>
              <w:adjustRightInd w:val="0"/>
              <w:snapToGrid w:val="0"/>
              <w:spacing w:before="0" w:after="0"/>
              <w:rPr>
                <w:b/>
                <w:bCs/>
                <w:sz w:val="21"/>
                <w:szCs w:val="16"/>
              </w:rPr>
            </w:pPr>
            <w:r>
              <w:rPr>
                <w:rFonts w:hint="eastAsia"/>
                <w:b/>
                <w:bCs/>
                <w:sz w:val="21"/>
                <w:szCs w:val="16"/>
              </w:rPr>
              <w:t xml:space="preserve">表1-9 </w:t>
            </w:r>
            <w:r>
              <w:rPr>
                <w:b/>
                <w:bCs/>
                <w:sz w:val="21"/>
                <w:szCs w:val="16"/>
              </w:rPr>
              <w:t>主要建构筑物一览表</w:t>
            </w:r>
          </w:p>
          <w:tbl>
            <w:tblPr>
              <w:tblStyle w:val="37"/>
              <w:tblpPr w:leftFromText="180" w:rightFromText="180" w:vertAnchor="text" w:horzAnchor="margin" w:tblpXSpec="center" w:tblpY="9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67"/>
              <w:gridCol w:w="1920"/>
              <w:gridCol w:w="1403"/>
              <w:gridCol w:w="694"/>
              <w:gridCol w:w="694"/>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b/>
                      <w:bCs/>
                      <w:sz w:val="21"/>
                      <w:szCs w:val="21"/>
                    </w:rPr>
                  </w:pPr>
                  <w:r>
                    <w:rPr>
                      <w:rFonts w:hint="eastAsia"/>
                      <w:b/>
                      <w:bCs/>
                      <w:sz w:val="21"/>
                      <w:szCs w:val="21"/>
                    </w:rPr>
                    <w:t>序号</w:t>
                  </w:r>
                </w:p>
              </w:tc>
              <w:tc>
                <w:tcPr>
                  <w:tcW w:w="1767" w:type="dxa"/>
                  <w:vAlign w:val="center"/>
                </w:tcPr>
                <w:p>
                  <w:pPr>
                    <w:tabs>
                      <w:tab w:val="left" w:pos="417"/>
                      <w:tab w:val="left" w:pos="3615"/>
                    </w:tabs>
                    <w:jc w:val="center"/>
                    <w:rPr>
                      <w:b/>
                      <w:bCs/>
                      <w:sz w:val="21"/>
                      <w:szCs w:val="21"/>
                    </w:rPr>
                  </w:pPr>
                  <w:r>
                    <w:rPr>
                      <w:rFonts w:hint="eastAsia"/>
                      <w:b/>
                      <w:bCs/>
                      <w:sz w:val="21"/>
                      <w:szCs w:val="21"/>
                    </w:rPr>
                    <w:t>名称</w:t>
                  </w:r>
                </w:p>
              </w:tc>
              <w:tc>
                <w:tcPr>
                  <w:tcW w:w="1920" w:type="dxa"/>
                  <w:vAlign w:val="center"/>
                </w:tcPr>
                <w:p>
                  <w:pPr>
                    <w:tabs>
                      <w:tab w:val="left" w:pos="417"/>
                      <w:tab w:val="left" w:pos="3615"/>
                    </w:tabs>
                    <w:jc w:val="center"/>
                    <w:rPr>
                      <w:b/>
                      <w:bCs/>
                      <w:sz w:val="21"/>
                      <w:szCs w:val="21"/>
                    </w:rPr>
                  </w:pPr>
                  <w:r>
                    <w:rPr>
                      <w:rFonts w:hint="eastAsia"/>
                      <w:b/>
                      <w:bCs/>
                      <w:sz w:val="21"/>
                      <w:szCs w:val="21"/>
                    </w:rPr>
                    <w:t>规格</w:t>
                  </w:r>
                </w:p>
              </w:tc>
              <w:tc>
                <w:tcPr>
                  <w:tcW w:w="1403" w:type="dxa"/>
                  <w:vAlign w:val="center"/>
                </w:tcPr>
                <w:p>
                  <w:pPr>
                    <w:tabs>
                      <w:tab w:val="left" w:pos="417"/>
                      <w:tab w:val="left" w:pos="3615"/>
                    </w:tabs>
                    <w:jc w:val="center"/>
                    <w:rPr>
                      <w:b/>
                      <w:bCs/>
                      <w:sz w:val="21"/>
                      <w:szCs w:val="21"/>
                    </w:rPr>
                  </w:pPr>
                  <w:r>
                    <w:rPr>
                      <w:rFonts w:hint="eastAsia"/>
                      <w:b/>
                      <w:bCs/>
                      <w:sz w:val="21"/>
                      <w:szCs w:val="21"/>
                    </w:rPr>
                    <w:t>材质</w:t>
                  </w:r>
                </w:p>
              </w:tc>
              <w:tc>
                <w:tcPr>
                  <w:tcW w:w="694" w:type="dxa"/>
                  <w:vAlign w:val="center"/>
                </w:tcPr>
                <w:p>
                  <w:pPr>
                    <w:tabs>
                      <w:tab w:val="left" w:pos="417"/>
                      <w:tab w:val="left" w:pos="3615"/>
                    </w:tabs>
                    <w:jc w:val="center"/>
                    <w:rPr>
                      <w:b/>
                      <w:bCs/>
                      <w:sz w:val="21"/>
                      <w:szCs w:val="21"/>
                    </w:rPr>
                  </w:pPr>
                  <w:r>
                    <w:rPr>
                      <w:rFonts w:hint="eastAsia"/>
                      <w:b/>
                      <w:bCs/>
                      <w:sz w:val="21"/>
                      <w:szCs w:val="21"/>
                    </w:rPr>
                    <w:t>单位</w:t>
                  </w:r>
                </w:p>
              </w:tc>
              <w:tc>
                <w:tcPr>
                  <w:tcW w:w="694" w:type="dxa"/>
                  <w:vAlign w:val="center"/>
                </w:tcPr>
                <w:p>
                  <w:pPr>
                    <w:tabs>
                      <w:tab w:val="left" w:pos="417"/>
                      <w:tab w:val="left" w:pos="3615"/>
                    </w:tabs>
                    <w:jc w:val="center"/>
                    <w:rPr>
                      <w:b/>
                      <w:bCs/>
                      <w:sz w:val="21"/>
                      <w:szCs w:val="21"/>
                    </w:rPr>
                  </w:pPr>
                  <w:r>
                    <w:rPr>
                      <w:rFonts w:hint="eastAsia"/>
                      <w:b/>
                      <w:bCs/>
                      <w:sz w:val="21"/>
                      <w:szCs w:val="21"/>
                    </w:rPr>
                    <w:t>数量</w:t>
                  </w:r>
                </w:p>
              </w:tc>
              <w:tc>
                <w:tcPr>
                  <w:tcW w:w="1399" w:type="dxa"/>
                  <w:vAlign w:val="center"/>
                </w:tcPr>
                <w:p>
                  <w:pPr>
                    <w:tabs>
                      <w:tab w:val="left" w:pos="417"/>
                      <w:tab w:val="left" w:pos="3615"/>
                    </w:tabs>
                    <w:jc w:val="center"/>
                    <w:rPr>
                      <w:b/>
                      <w:bCs/>
                      <w:sz w:val="21"/>
                      <w:szCs w:val="21"/>
                    </w:rPr>
                  </w:pPr>
                  <w:r>
                    <w:rPr>
                      <w:rFonts w:hint="eastAsia"/>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sz w:val="21"/>
                      <w:szCs w:val="21"/>
                    </w:rPr>
                  </w:pPr>
                  <w:r>
                    <w:rPr>
                      <w:rFonts w:hint="eastAsia"/>
                      <w:sz w:val="21"/>
                      <w:szCs w:val="21"/>
                    </w:rPr>
                    <w:t>1</w:t>
                  </w:r>
                </w:p>
              </w:tc>
              <w:tc>
                <w:tcPr>
                  <w:tcW w:w="1767" w:type="dxa"/>
                  <w:vAlign w:val="center"/>
                </w:tcPr>
                <w:p>
                  <w:pPr>
                    <w:tabs>
                      <w:tab w:val="left" w:pos="417"/>
                      <w:tab w:val="left" w:pos="3615"/>
                    </w:tabs>
                    <w:jc w:val="center"/>
                    <w:rPr>
                      <w:sz w:val="21"/>
                      <w:szCs w:val="21"/>
                    </w:rPr>
                  </w:pPr>
                  <w:r>
                    <w:rPr>
                      <w:rFonts w:hint="eastAsia"/>
                      <w:sz w:val="21"/>
                      <w:szCs w:val="21"/>
                    </w:rPr>
                    <w:t>格栅井</w:t>
                  </w:r>
                </w:p>
              </w:tc>
              <w:tc>
                <w:tcPr>
                  <w:tcW w:w="1920" w:type="dxa"/>
                  <w:vAlign w:val="center"/>
                </w:tcPr>
                <w:p>
                  <w:pPr>
                    <w:tabs>
                      <w:tab w:val="left" w:pos="417"/>
                      <w:tab w:val="left" w:pos="3615"/>
                    </w:tabs>
                    <w:jc w:val="center"/>
                    <w:rPr>
                      <w:sz w:val="21"/>
                      <w:szCs w:val="21"/>
                    </w:rPr>
                  </w:pPr>
                  <w:r>
                    <w:rPr>
                      <w:rFonts w:hint="eastAsia"/>
                      <w:sz w:val="21"/>
                      <w:szCs w:val="21"/>
                    </w:rPr>
                    <w:t>5.3×3.0×6.2m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sz w:val="21"/>
                      <w:szCs w:val="21"/>
                    </w:rPr>
                  </w:pPr>
                  <w:r>
                    <w:rPr>
                      <w:rFonts w:hint="eastAsia"/>
                      <w:sz w:val="21"/>
                      <w:szCs w:val="21"/>
                    </w:rPr>
                    <w:t>2</w:t>
                  </w:r>
                </w:p>
              </w:tc>
              <w:tc>
                <w:tcPr>
                  <w:tcW w:w="1767" w:type="dxa"/>
                  <w:vAlign w:val="center"/>
                </w:tcPr>
                <w:p>
                  <w:pPr>
                    <w:tabs>
                      <w:tab w:val="left" w:pos="417"/>
                      <w:tab w:val="left" w:pos="3615"/>
                    </w:tabs>
                    <w:jc w:val="center"/>
                    <w:rPr>
                      <w:sz w:val="21"/>
                      <w:szCs w:val="21"/>
                    </w:rPr>
                  </w:pPr>
                  <w:r>
                    <w:rPr>
                      <w:rFonts w:hint="eastAsia"/>
                      <w:sz w:val="21"/>
                      <w:szCs w:val="21"/>
                    </w:rPr>
                    <w:t>提升泵房</w:t>
                  </w:r>
                </w:p>
              </w:tc>
              <w:tc>
                <w:tcPr>
                  <w:tcW w:w="1920" w:type="dxa"/>
                  <w:vAlign w:val="center"/>
                </w:tcPr>
                <w:p>
                  <w:pPr>
                    <w:tabs>
                      <w:tab w:val="left" w:pos="417"/>
                      <w:tab w:val="left" w:pos="3615"/>
                    </w:tabs>
                    <w:jc w:val="center"/>
                    <w:rPr>
                      <w:sz w:val="21"/>
                      <w:szCs w:val="21"/>
                    </w:rPr>
                  </w:pPr>
                  <w:r>
                    <w:rPr>
                      <w:rFonts w:hint="eastAsia"/>
                      <w:sz w:val="21"/>
                      <w:szCs w:val="21"/>
                    </w:rPr>
                    <w:t>4.4×4.2×8.2m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sz w:val="21"/>
                      <w:szCs w:val="21"/>
                    </w:rPr>
                  </w:pPr>
                  <w:r>
                    <w:rPr>
                      <w:rFonts w:hint="eastAsia"/>
                      <w:sz w:val="21"/>
                      <w:szCs w:val="21"/>
                    </w:rPr>
                    <w:t>3</w:t>
                  </w:r>
                </w:p>
              </w:tc>
              <w:tc>
                <w:tcPr>
                  <w:tcW w:w="1767" w:type="dxa"/>
                  <w:vAlign w:val="center"/>
                </w:tcPr>
                <w:p>
                  <w:pPr>
                    <w:tabs>
                      <w:tab w:val="left" w:pos="417"/>
                      <w:tab w:val="left" w:pos="3615"/>
                    </w:tabs>
                    <w:jc w:val="center"/>
                    <w:rPr>
                      <w:sz w:val="21"/>
                      <w:szCs w:val="21"/>
                    </w:rPr>
                  </w:pPr>
                  <w:r>
                    <w:rPr>
                      <w:rFonts w:hint="eastAsia"/>
                      <w:sz w:val="21"/>
                      <w:szCs w:val="21"/>
                    </w:rPr>
                    <w:t>调节池</w:t>
                  </w:r>
                </w:p>
              </w:tc>
              <w:tc>
                <w:tcPr>
                  <w:tcW w:w="1920" w:type="dxa"/>
                  <w:vAlign w:val="center"/>
                </w:tcPr>
                <w:p>
                  <w:pPr>
                    <w:tabs>
                      <w:tab w:val="left" w:pos="417"/>
                      <w:tab w:val="left" w:pos="3615"/>
                    </w:tabs>
                    <w:jc w:val="center"/>
                    <w:rPr>
                      <w:sz w:val="21"/>
                      <w:szCs w:val="21"/>
                    </w:rPr>
                  </w:pPr>
                  <w:r>
                    <w:rPr>
                      <w:rFonts w:hint="eastAsia"/>
                      <w:sz w:val="21"/>
                      <w:szCs w:val="21"/>
                    </w:rPr>
                    <w:t>9.2×9.2×5.0m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sz w:val="21"/>
                      <w:szCs w:val="21"/>
                    </w:rPr>
                  </w:pPr>
                  <w:r>
                    <w:rPr>
                      <w:rFonts w:hint="eastAsia"/>
                      <w:sz w:val="21"/>
                      <w:szCs w:val="21"/>
                    </w:rPr>
                    <w:t>4</w:t>
                  </w:r>
                </w:p>
              </w:tc>
              <w:tc>
                <w:tcPr>
                  <w:tcW w:w="1767" w:type="dxa"/>
                  <w:vAlign w:val="center"/>
                </w:tcPr>
                <w:p>
                  <w:pPr>
                    <w:tabs>
                      <w:tab w:val="left" w:pos="417"/>
                      <w:tab w:val="left" w:pos="3615"/>
                    </w:tabs>
                    <w:jc w:val="center"/>
                    <w:rPr>
                      <w:sz w:val="21"/>
                      <w:szCs w:val="21"/>
                    </w:rPr>
                  </w:pPr>
                  <w:r>
                    <w:rPr>
                      <w:rFonts w:hint="eastAsia"/>
                      <w:sz w:val="21"/>
                      <w:szCs w:val="21"/>
                    </w:rPr>
                    <w:t>CWT一体化设备</w:t>
                  </w:r>
                </w:p>
              </w:tc>
              <w:tc>
                <w:tcPr>
                  <w:tcW w:w="1920" w:type="dxa"/>
                  <w:vAlign w:val="center"/>
                </w:tcPr>
                <w:p>
                  <w:pPr>
                    <w:tabs>
                      <w:tab w:val="left" w:pos="417"/>
                      <w:tab w:val="left" w:pos="3615"/>
                    </w:tabs>
                    <w:jc w:val="center"/>
                    <w:rPr>
                      <w:sz w:val="21"/>
                      <w:szCs w:val="21"/>
                    </w:rPr>
                  </w:pPr>
                  <w:r>
                    <w:rPr>
                      <w:rFonts w:hint="eastAsia"/>
                      <w:sz w:val="21"/>
                      <w:szCs w:val="21"/>
                    </w:rPr>
                    <w:t>14.0×2.5×3.0m</w:t>
                  </w:r>
                </w:p>
              </w:tc>
              <w:tc>
                <w:tcPr>
                  <w:tcW w:w="1403" w:type="dxa"/>
                  <w:vAlign w:val="center"/>
                </w:tcPr>
                <w:p>
                  <w:pPr>
                    <w:tabs>
                      <w:tab w:val="left" w:pos="417"/>
                      <w:tab w:val="left" w:pos="3615"/>
                    </w:tabs>
                    <w:jc w:val="center"/>
                    <w:rPr>
                      <w:sz w:val="21"/>
                      <w:szCs w:val="21"/>
                    </w:rPr>
                  </w:pPr>
                  <w:r>
                    <w:rPr>
                      <w:rFonts w:hint="eastAsia"/>
                      <w:sz w:val="21"/>
                      <w:szCs w:val="21"/>
                    </w:rPr>
                    <w:t>钢制</w:t>
                  </w:r>
                </w:p>
              </w:tc>
              <w:tc>
                <w:tcPr>
                  <w:tcW w:w="694" w:type="dxa"/>
                  <w:vAlign w:val="center"/>
                </w:tcPr>
                <w:p>
                  <w:pPr>
                    <w:tabs>
                      <w:tab w:val="left" w:pos="417"/>
                      <w:tab w:val="left" w:pos="3615"/>
                    </w:tabs>
                    <w:jc w:val="center"/>
                    <w:rPr>
                      <w:sz w:val="21"/>
                      <w:szCs w:val="21"/>
                    </w:rPr>
                  </w:pPr>
                  <w:r>
                    <w:rPr>
                      <w:rFonts w:hint="eastAsia"/>
                      <w:sz w:val="21"/>
                      <w:szCs w:val="21"/>
                    </w:rPr>
                    <w:t>套</w:t>
                  </w:r>
                </w:p>
              </w:tc>
              <w:tc>
                <w:tcPr>
                  <w:tcW w:w="694" w:type="dxa"/>
                  <w:vAlign w:val="center"/>
                </w:tcPr>
                <w:p>
                  <w:pPr>
                    <w:tabs>
                      <w:tab w:val="left" w:pos="417"/>
                      <w:tab w:val="left" w:pos="3615"/>
                    </w:tabs>
                    <w:jc w:val="center"/>
                    <w:rPr>
                      <w:sz w:val="21"/>
                      <w:szCs w:val="21"/>
                    </w:rPr>
                  </w:pPr>
                  <w:r>
                    <w:rPr>
                      <w:rFonts w:hint="eastAsia"/>
                      <w:sz w:val="21"/>
                      <w:szCs w:val="21"/>
                    </w:rPr>
                    <w:t>2</w:t>
                  </w:r>
                </w:p>
              </w:tc>
              <w:tc>
                <w:tcPr>
                  <w:tcW w:w="139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sz w:val="21"/>
                      <w:szCs w:val="21"/>
                    </w:rPr>
                  </w:pPr>
                  <w:r>
                    <w:rPr>
                      <w:rFonts w:hint="eastAsia"/>
                      <w:sz w:val="21"/>
                      <w:szCs w:val="21"/>
                    </w:rPr>
                    <w:t>5</w:t>
                  </w:r>
                </w:p>
              </w:tc>
              <w:tc>
                <w:tcPr>
                  <w:tcW w:w="1767" w:type="dxa"/>
                  <w:vAlign w:val="center"/>
                </w:tcPr>
                <w:p>
                  <w:pPr>
                    <w:tabs>
                      <w:tab w:val="left" w:pos="417"/>
                      <w:tab w:val="left" w:pos="3615"/>
                    </w:tabs>
                    <w:jc w:val="center"/>
                    <w:rPr>
                      <w:sz w:val="21"/>
                      <w:szCs w:val="21"/>
                    </w:rPr>
                  </w:pPr>
                  <w:r>
                    <w:rPr>
                      <w:rFonts w:hint="eastAsia"/>
                      <w:sz w:val="21"/>
                      <w:szCs w:val="21"/>
                    </w:rPr>
                    <w:t>储泥池</w:t>
                  </w:r>
                </w:p>
              </w:tc>
              <w:tc>
                <w:tcPr>
                  <w:tcW w:w="1920" w:type="dxa"/>
                  <w:vAlign w:val="center"/>
                </w:tcPr>
                <w:p>
                  <w:pPr>
                    <w:tabs>
                      <w:tab w:val="left" w:pos="417"/>
                      <w:tab w:val="left" w:pos="3615"/>
                    </w:tabs>
                    <w:jc w:val="center"/>
                    <w:rPr>
                      <w:sz w:val="21"/>
                      <w:szCs w:val="21"/>
                    </w:rPr>
                  </w:pPr>
                  <w:r>
                    <w:rPr>
                      <w:rFonts w:hint="eastAsia"/>
                      <w:sz w:val="21"/>
                      <w:szCs w:val="21"/>
                    </w:rPr>
                    <w:t>4.0×4.0×3.8m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利旧改造</w:t>
                  </w:r>
                </w:p>
              </w:tc>
            </w:tr>
          </w:tbl>
          <w:p>
            <w:pPr>
              <w:pStyle w:val="2"/>
              <w:tabs>
                <w:tab w:val="left" w:pos="3930"/>
              </w:tabs>
              <w:kinsoku w:val="0"/>
              <w:overflowPunct w:val="0"/>
              <w:spacing w:before="44" w:line="360" w:lineRule="auto"/>
              <w:ind w:right="108"/>
              <w:rPr>
                <w:b/>
                <w:bCs/>
                <w:sz w:val="21"/>
                <w:szCs w:val="16"/>
              </w:rPr>
            </w:pPr>
            <w:r>
              <w:rPr>
                <w:b/>
                <w:bCs/>
                <w:sz w:val="21"/>
                <w:szCs w:val="16"/>
              </w:rPr>
              <w:t>表</w:t>
            </w:r>
            <w:r>
              <w:rPr>
                <w:b/>
                <w:bCs/>
                <w:spacing w:val="-69"/>
                <w:sz w:val="21"/>
                <w:szCs w:val="16"/>
              </w:rPr>
              <w:t xml:space="preserve"> </w:t>
            </w:r>
            <w:r>
              <w:rPr>
                <w:rFonts w:hint="eastAsia"/>
                <w:b/>
                <w:bCs/>
                <w:sz w:val="21"/>
                <w:szCs w:val="16"/>
              </w:rPr>
              <w:t xml:space="preserve">1-10 </w:t>
            </w:r>
            <w:r>
              <w:rPr>
                <w:b/>
                <w:bCs/>
                <w:sz w:val="21"/>
                <w:szCs w:val="16"/>
              </w:rPr>
              <w:t>主要</w:t>
            </w:r>
            <w:r>
              <w:rPr>
                <w:rFonts w:hint="eastAsia"/>
                <w:b/>
                <w:bCs/>
                <w:sz w:val="21"/>
                <w:szCs w:val="16"/>
              </w:rPr>
              <w:t>工艺设备</w:t>
            </w:r>
            <w:r>
              <w:rPr>
                <w:b/>
                <w:bCs/>
                <w:sz w:val="21"/>
                <w:szCs w:val="16"/>
              </w:rPr>
              <w:t>一览表</w:t>
            </w:r>
          </w:p>
          <w:tbl>
            <w:tblPr>
              <w:tblStyle w:val="37"/>
              <w:tblW w:w="0" w:type="auto"/>
              <w:tblInd w:w="5" w:type="dxa"/>
              <w:tblLayout w:type="fixed"/>
              <w:tblCellMar>
                <w:top w:w="0" w:type="dxa"/>
                <w:left w:w="0" w:type="dxa"/>
                <w:bottom w:w="0" w:type="dxa"/>
                <w:right w:w="0" w:type="dxa"/>
              </w:tblCellMar>
            </w:tblPr>
            <w:tblGrid>
              <w:gridCol w:w="593"/>
              <w:gridCol w:w="1600"/>
              <w:gridCol w:w="3230"/>
              <w:gridCol w:w="680"/>
              <w:gridCol w:w="590"/>
              <w:gridCol w:w="1896"/>
            </w:tblGrid>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b/>
                      <w:bCs/>
                      <w:sz w:val="21"/>
                      <w:szCs w:val="21"/>
                    </w:rPr>
                    <w:t>序号</w:t>
                  </w:r>
                </w:p>
              </w:tc>
              <w:tc>
                <w:tcPr>
                  <w:tcW w:w="160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工程内容</w:t>
                  </w:r>
                </w:p>
              </w:tc>
              <w:tc>
                <w:tcPr>
                  <w:tcW w:w="323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规格</w:t>
                  </w:r>
                </w:p>
              </w:tc>
              <w:tc>
                <w:tcPr>
                  <w:tcW w:w="68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单位</w:t>
                  </w:r>
                </w:p>
              </w:tc>
              <w:tc>
                <w:tcPr>
                  <w:tcW w:w="59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数量</w:t>
                  </w:r>
                </w:p>
              </w:tc>
              <w:tc>
                <w:tcPr>
                  <w:tcW w:w="1896"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备注</w:t>
                  </w: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回转式机械格栅</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栅间距3mm，渠深6.2m</w:t>
                  </w:r>
                </w:p>
                <w:p>
                  <w:pPr>
                    <w:tabs>
                      <w:tab w:val="left" w:pos="417"/>
                      <w:tab w:val="left" w:pos="3615"/>
                    </w:tabs>
                    <w:jc w:val="center"/>
                    <w:rPr>
                      <w:sz w:val="21"/>
                      <w:szCs w:val="21"/>
                    </w:rPr>
                  </w:pPr>
                  <w:r>
                    <w:rPr>
                      <w:rFonts w:hint="eastAsia"/>
                      <w:sz w:val="21"/>
                      <w:szCs w:val="21"/>
                    </w:rPr>
                    <w:t>渠宽1.0m，功率1.1kw</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将格栅渠更换原有栅间距为3mm的回转式格栅除污机</w:t>
                  </w: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潜污泵</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流量6m</w:t>
                  </w:r>
                  <w:r>
                    <w:rPr>
                      <w:rFonts w:hint="eastAsia"/>
                      <w:sz w:val="21"/>
                      <w:szCs w:val="21"/>
                      <w:vertAlign w:val="superscript"/>
                    </w:rPr>
                    <w:t>3</w:t>
                  </w:r>
                  <w:r>
                    <w:rPr>
                      <w:rFonts w:hint="eastAsia"/>
                      <w:sz w:val="21"/>
                      <w:szCs w:val="21"/>
                    </w:rPr>
                    <w:t xml:space="preserve">/h，扬程20m，功率2.2kw </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1用1备</w:t>
                  </w: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超声波液位计</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量程0～5m，输出4～20mA</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阀门井</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 xml:space="preserve"> 平面尺寸φ1.5m，深度1.8m，地下砖砌结构</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5</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计量井</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平面尺寸：φ1.0m，深度1.3m，地下砖砌结构</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6</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电磁流量计</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量程 0～200m</w:t>
                  </w:r>
                  <w:r>
                    <w:rPr>
                      <w:rFonts w:hint="eastAsia"/>
                      <w:sz w:val="21"/>
                      <w:szCs w:val="21"/>
                      <w:vertAlign w:val="superscript"/>
                    </w:rPr>
                    <w:t>3</w:t>
                  </w:r>
                  <w:r>
                    <w:rPr>
                      <w:rFonts w:hint="eastAsia"/>
                      <w:sz w:val="21"/>
                      <w:szCs w:val="21"/>
                    </w:rPr>
                    <w:t>/h，输出4～20mA</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w:t>
                  </w: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7</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出水井</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平面尺寸2.6×2.6m，池深3.8m，地下钢混结构</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8</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在线监测仪表</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包含进出水取样泵、数采仪和自动采样器等</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套</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新增进、出水在线监测仪表各1套</w:t>
                  </w:r>
                </w:p>
              </w:tc>
            </w:tr>
          </w:tbl>
          <w:p>
            <w:pPr>
              <w:adjustRightInd w:val="0"/>
              <w:snapToGrid w:val="0"/>
              <w:spacing w:beforeLines="50" w:line="360" w:lineRule="auto"/>
              <w:ind w:left="480" w:leftChars="200"/>
              <w:rPr>
                <w:b/>
                <w:bCs/>
                <w:szCs w:val="32"/>
              </w:rPr>
            </w:pPr>
            <w:r>
              <w:rPr>
                <w:rFonts w:hint="eastAsia"/>
                <w:b/>
                <w:bCs/>
                <w:szCs w:val="32"/>
              </w:rPr>
              <w:t>（3）牛街污水处理厂</w:t>
            </w:r>
          </w:p>
          <w:p>
            <w:pPr>
              <w:pStyle w:val="2"/>
              <w:tabs>
                <w:tab w:val="left" w:pos="3930"/>
              </w:tabs>
              <w:kinsoku w:val="0"/>
              <w:overflowPunct w:val="0"/>
              <w:adjustRightInd w:val="0"/>
              <w:snapToGrid w:val="0"/>
              <w:spacing w:before="0" w:after="0" w:line="360" w:lineRule="auto"/>
              <w:rPr>
                <w:b/>
                <w:bCs/>
                <w:sz w:val="21"/>
                <w:szCs w:val="16"/>
              </w:rPr>
            </w:pPr>
            <w:r>
              <w:rPr>
                <w:rFonts w:hint="eastAsia"/>
                <w:b/>
                <w:bCs/>
                <w:sz w:val="21"/>
                <w:szCs w:val="16"/>
              </w:rPr>
              <w:t>表1-11 主要构筑物一览表</w:t>
            </w:r>
          </w:p>
          <w:tbl>
            <w:tblPr>
              <w:tblStyle w:val="3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60"/>
              <w:gridCol w:w="1746"/>
              <w:gridCol w:w="2198"/>
              <w:gridCol w:w="1598"/>
              <w:gridCol w:w="681"/>
              <w:gridCol w:w="728"/>
              <w:gridCol w:w="9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b/>
                      <w:bCs/>
                      <w:sz w:val="21"/>
                      <w:szCs w:val="21"/>
                    </w:rPr>
                  </w:pPr>
                  <w:r>
                    <w:rPr>
                      <w:rFonts w:hint="eastAsia"/>
                      <w:b/>
                      <w:bCs/>
                      <w:sz w:val="21"/>
                      <w:szCs w:val="21"/>
                    </w:rPr>
                    <w:t>序号</w:t>
                  </w:r>
                </w:p>
              </w:tc>
              <w:tc>
                <w:tcPr>
                  <w:tcW w:w="1746" w:type="dxa"/>
                  <w:vAlign w:val="center"/>
                </w:tcPr>
                <w:p>
                  <w:pPr>
                    <w:tabs>
                      <w:tab w:val="left" w:pos="417"/>
                      <w:tab w:val="left" w:pos="3615"/>
                    </w:tabs>
                    <w:jc w:val="center"/>
                    <w:rPr>
                      <w:b/>
                      <w:bCs/>
                      <w:sz w:val="21"/>
                      <w:szCs w:val="21"/>
                    </w:rPr>
                  </w:pPr>
                  <w:r>
                    <w:rPr>
                      <w:rFonts w:hint="eastAsia"/>
                      <w:b/>
                      <w:bCs/>
                      <w:sz w:val="21"/>
                      <w:szCs w:val="21"/>
                    </w:rPr>
                    <w:t>名称</w:t>
                  </w:r>
                </w:p>
              </w:tc>
              <w:tc>
                <w:tcPr>
                  <w:tcW w:w="2198" w:type="dxa"/>
                  <w:vAlign w:val="center"/>
                </w:tcPr>
                <w:p>
                  <w:pPr>
                    <w:tabs>
                      <w:tab w:val="left" w:pos="417"/>
                      <w:tab w:val="left" w:pos="3615"/>
                    </w:tabs>
                    <w:jc w:val="center"/>
                    <w:rPr>
                      <w:b/>
                      <w:bCs/>
                      <w:sz w:val="21"/>
                      <w:szCs w:val="21"/>
                    </w:rPr>
                  </w:pPr>
                  <w:r>
                    <w:rPr>
                      <w:rFonts w:hint="eastAsia"/>
                      <w:b/>
                      <w:bCs/>
                      <w:sz w:val="21"/>
                      <w:szCs w:val="21"/>
                    </w:rPr>
                    <w:t>规格</w:t>
                  </w:r>
                </w:p>
              </w:tc>
              <w:tc>
                <w:tcPr>
                  <w:tcW w:w="1598" w:type="dxa"/>
                  <w:vAlign w:val="center"/>
                </w:tcPr>
                <w:p>
                  <w:pPr>
                    <w:tabs>
                      <w:tab w:val="left" w:pos="417"/>
                      <w:tab w:val="left" w:pos="3615"/>
                    </w:tabs>
                    <w:jc w:val="center"/>
                    <w:rPr>
                      <w:b/>
                      <w:bCs/>
                      <w:sz w:val="21"/>
                      <w:szCs w:val="21"/>
                    </w:rPr>
                  </w:pPr>
                  <w:r>
                    <w:rPr>
                      <w:rFonts w:hint="eastAsia"/>
                      <w:b/>
                      <w:bCs/>
                      <w:sz w:val="21"/>
                      <w:szCs w:val="21"/>
                    </w:rPr>
                    <w:t>材质</w:t>
                  </w:r>
                </w:p>
              </w:tc>
              <w:tc>
                <w:tcPr>
                  <w:tcW w:w="681" w:type="dxa"/>
                  <w:vAlign w:val="center"/>
                </w:tcPr>
                <w:p>
                  <w:pPr>
                    <w:tabs>
                      <w:tab w:val="left" w:pos="417"/>
                      <w:tab w:val="left" w:pos="3615"/>
                    </w:tabs>
                    <w:jc w:val="center"/>
                    <w:rPr>
                      <w:b/>
                      <w:bCs/>
                      <w:sz w:val="21"/>
                      <w:szCs w:val="21"/>
                    </w:rPr>
                  </w:pPr>
                  <w:r>
                    <w:rPr>
                      <w:rFonts w:hint="eastAsia"/>
                      <w:b/>
                      <w:bCs/>
                      <w:sz w:val="21"/>
                      <w:szCs w:val="21"/>
                    </w:rPr>
                    <w:t>单位</w:t>
                  </w:r>
                </w:p>
              </w:tc>
              <w:tc>
                <w:tcPr>
                  <w:tcW w:w="728" w:type="dxa"/>
                  <w:vAlign w:val="center"/>
                </w:tcPr>
                <w:p>
                  <w:pPr>
                    <w:tabs>
                      <w:tab w:val="left" w:pos="417"/>
                      <w:tab w:val="left" w:pos="3615"/>
                    </w:tabs>
                    <w:jc w:val="center"/>
                    <w:rPr>
                      <w:b/>
                      <w:bCs/>
                      <w:sz w:val="21"/>
                      <w:szCs w:val="21"/>
                    </w:rPr>
                  </w:pPr>
                  <w:r>
                    <w:rPr>
                      <w:rFonts w:hint="eastAsia"/>
                      <w:b/>
                      <w:bCs/>
                      <w:sz w:val="21"/>
                      <w:szCs w:val="21"/>
                    </w:rPr>
                    <w:t>数量</w:t>
                  </w:r>
                </w:p>
              </w:tc>
              <w:tc>
                <w:tcPr>
                  <w:tcW w:w="989" w:type="dxa"/>
                  <w:vAlign w:val="center"/>
                </w:tcPr>
                <w:p>
                  <w:pPr>
                    <w:tabs>
                      <w:tab w:val="left" w:pos="417"/>
                      <w:tab w:val="left" w:pos="3615"/>
                    </w:tabs>
                    <w:jc w:val="center"/>
                    <w:rPr>
                      <w:b/>
                      <w:bCs/>
                      <w:sz w:val="21"/>
                      <w:szCs w:val="21"/>
                    </w:rPr>
                  </w:pPr>
                  <w:r>
                    <w:rPr>
                      <w:rFonts w:hint="eastAsia"/>
                      <w:b/>
                      <w:bCs/>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w:t>
                  </w:r>
                </w:p>
              </w:tc>
              <w:tc>
                <w:tcPr>
                  <w:tcW w:w="1746" w:type="dxa"/>
                  <w:vAlign w:val="center"/>
                </w:tcPr>
                <w:p>
                  <w:pPr>
                    <w:tabs>
                      <w:tab w:val="left" w:pos="417"/>
                      <w:tab w:val="left" w:pos="3615"/>
                    </w:tabs>
                    <w:jc w:val="center"/>
                    <w:rPr>
                      <w:sz w:val="21"/>
                      <w:szCs w:val="21"/>
                    </w:rPr>
                  </w:pPr>
                  <w:r>
                    <w:rPr>
                      <w:rFonts w:hint="eastAsia"/>
                      <w:sz w:val="21"/>
                      <w:szCs w:val="21"/>
                    </w:rPr>
                    <w:t>进水井</w:t>
                  </w:r>
                </w:p>
              </w:tc>
              <w:tc>
                <w:tcPr>
                  <w:tcW w:w="2198" w:type="dxa"/>
                  <w:vAlign w:val="center"/>
                </w:tcPr>
                <w:p>
                  <w:pPr>
                    <w:tabs>
                      <w:tab w:val="left" w:pos="417"/>
                      <w:tab w:val="left" w:pos="3615"/>
                    </w:tabs>
                    <w:jc w:val="center"/>
                    <w:rPr>
                      <w:sz w:val="21"/>
                      <w:szCs w:val="21"/>
                    </w:rPr>
                  </w:pPr>
                  <w:r>
                    <w:rPr>
                      <w:rFonts w:hint="eastAsia"/>
                      <w:sz w:val="21"/>
                      <w:szCs w:val="21"/>
                    </w:rPr>
                    <w:t>1.6×1.45×3.9m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2</w:t>
                  </w:r>
                </w:p>
              </w:tc>
              <w:tc>
                <w:tcPr>
                  <w:tcW w:w="1746" w:type="dxa"/>
                  <w:vAlign w:val="center"/>
                </w:tcPr>
                <w:p>
                  <w:pPr>
                    <w:tabs>
                      <w:tab w:val="left" w:pos="417"/>
                      <w:tab w:val="left" w:pos="3615"/>
                    </w:tabs>
                    <w:jc w:val="center"/>
                    <w:rPr>
                      <w:sz w:val="21"/>
                      <w:szCs w:val="21"/>
                    </w:rPr>
                  </w:pPr>
                  <w:r>
                    <w:rPr>
                      <w:rFonts w:hint="eastAsia"/>
                      <w:sz w:val="21"/>
                      <w:szCs w:val="21"/>
                    </w:rPr>
                    <w:t>粗格栅及细格栅</w:t>
                  </w:r>
                </w:p>
              </w:tc>
              <w:tc>
                <w:tcPr>
                  <w:tcW w:w="2198" w:type="dxa"/>
                  <w:vAlign w:val="center"/>
                </w:tcPr>
                <w:p>
                  <w:pPr>
                    <w:tabs>
                      <w:tab w:val="left" w:pos="417"/>
                      <w:tab w:val="left" w:pos="3615"/>
                    </w:tabs>
                    <w:jc w:val="center"/>
                    <w:rPr>
                      <w:sz w:val="21"/>
                      <w:szCs w:val="21"/>
                    </w:rPr>
                  </w:pPr>
                  <w:r>
                    <w:rPr>
                      <w:rFonts w:hint="eastAsia"/>
                      <w:sz w:val="21"/>
                      <w:szCs w:val="21"/>
                    </w:rPr>
                    <w:t>5.9×0.6×1.25m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3</w:t>
                  </w:r>
                </w:p>
              </w:tc>
              <w:tc>
                <w:tcPr>
                  <w:tcW w:w="1746" w:type="dxa"/>
                  <w:vAlign w:val="center"/>
                </w:tcPr>
                <w:p>
                  <w:pPr>
                    <w:tabs>
                      <w:tab w:val="left" w:pos="417"/>
                      <w:tab w:val="left" w:pos="3615"/>
                    </w:tabs>
                    <w:jc w:val="center"/>
                    <w:rPr>
                      <w:sz w:val="21"/>
                      <w:szCs w:val="21"/>
                    </w:rPr>
                  </w:pPr>
                  <w:r>
                    <w:rPr>
                      <w:rFonts w:hint="eastAsia"/>
                      <w:sz w:val="21"/>
                      <w:szCs w:val="21"/>
                    </w:rPr>
                    <w:t>沉砂池</w:t>
                  </w:r>
                </w:p>
              </w:tc>
              <w:tc>
                <w:tcPr>
                  <w:tcW w:w="2198" w:type="dxa"/>
                  <w:vAlign w:val="center"/>
                </w:tcPr>
                <w:p>
                  <w:pPr>
                    <w:tabs>
                      <w:tab w:val="left" w:pos="417"/>
                      <w:tab w:val="left" w:pos="3615"/>
                    </w:tabs>
                    <w:jc w:val="center"/>
                    <w:rPr>
                      <w:sz w:val="21"/>
                      <w:szCs w:val="21"/>
                    </w:rPr>
                  </w:pPr>
                  <w:r>
                    <w:rPr>
                      <w:rFonts w:hint="eastAsia"/>
                      <w:sz w:val="21"/>
                      <w:szCs w:val="21"/>
                    </w:rPr>
                    <w:t>3.05×2.6×2.8m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4</w:t>
                  </w:r>
                </w:p>
              </w:tc>
              <w:tc>
                <w:tcPr>
                  <w:tcW w:w="1746" w:type="dxa"/>
                  <w:vAlign w:val="center"/>
                </w:tcPr>
                <w:p>
                  <w:pPr>
                    <w:tabs>
                      <w:tab w:val="left" w:pos="417"/>
                      <w:tab w:val="left" w:pos="3615"/>
                    </w:tabs>
                    <w:jc w:val="center"/>
                    <w:rPr>
                      <w:sz w:val="21"/>
                      <w:szCs w:val="21"/>
                    </w:rPr>
                  </w:pPr>
                  <w:r>
                    <w:rPr>
                      <w:rFonts w:hint="eastAsia"/>
                      <w:sz w:val="21"/>
                      <w:szCs w:val="21"/>
                    </w:rPr>
                    <w:t>提升泵池</w:t>
                  </w:r>
                </w:p>
              </w:tc>
              <w:tc>
                <w:tcPr>
                  <w:tcW w:w="2198" w:type="dxa"/>
                  <w:vAlign w:val="center"/>
                </w:tcPr>
                <w:p>
                  <w:pPr>
                    <w:tabs>
                      <w:tab w:val="left" w:pos="417"/>
                      <w:tab w:val="left" w:pos="3615"/>
                    </w:tabs>
                    <w:jc w:val="center"/>
                    <w:rPr>
                      <w:sz w:val="21"/>
                      <w:szCs w:val="21"/>
                    </w:rPr>
                  </w:pPr>
                  <w:r>
                    <w:rPr>
                      <w:rFonts w:hint="eastAsia"/>
                      <w:sz w:val="21"/>
                      <w:szCs w:val="21"/>
                    </w:rPr>
                    <w:t>3.05×3.0×2.8m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5</w:t>
                  </w:r>
                </w:p>
              </w:tc>
              <w:tc>
                <w:tcPr>
                  <w:tcW w:w="1746" w:type="dxa"/>
                  <w:vAlign w:val="center"/>
                </w:tcPr>
                <w:p>
                  <w:pPr>
                    <w:tabs>
                      <w:tab w:val="left" w:pos="417"/>
                      <w:tab w:val="left" w:pos="3615"/>
                    </w:tabs>
                    <w:jc w:val="center"/>
                    <w:rPr>
                      <w:sz w:val="21"/>
                      <w:szCs w:val="21"/>
                    </w:rPr>
                  </w:pPr>
                  <w:r>
                    <w:rPr>
                      <w:rFonts w:hint="eastAsia"/>
                      <w:sz w:val="21"/>
                      <w:szCs w:val="21"/>
                    </w:rPr>
                    <w:t>调节池</w:t>
                  </w:r>
                </w:p>
              </w:tc>
              <w:tc>
                <w:tcPr>
                  <w:tcW w:w="2198" w:type="dxa"/>
                  <w:vAlign w:val="center"/>
                </w:tcPr>
                <w:p>
                  <w:pPr>
                    <w:tabs>
                      <w:tab w:val="left" w:pos="417"/>
                      <w:tab w:val="left" w:pos="3615"/>
                    </w:tabs>
                    <w:jc w:val="center"/>
                    <w:rPr>
                      <w:sz w:val="21"/>
                      <w:szCs w:val="21"/>
                    </w:rPr>
                  </w:pPr>
                  <w:r>
                    <w:rPr>
                      <w:rFonts w:hint="eastAsia"/>
                      <w:sz w:val="21"/>
                      <w:szCs w:val="21"/>
                    </w:rPr>
                    <w:t>11.4m×4.5m×6.0m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6</w:t>
                  </w:r>
                </w:p>
              </w:tc>
              <w:tc>
                <w:tcPr>
                  <w:tcW w:w="1746" w:type="dxa"/>
                  <w:vAlign w:val="center"/>
                </w:tcPr>
                <w:p>
                  <w:pPr>
                    <w:tabs>
                      <w:tab w:val="left" w:pos="417"/>
                      <w:tab w:val="left" w:pos="3615"/>
                    </w:tabs>
                    <w:jc w:val="center"/>
                    <w:rPr>
                      <w:sz w:val="21"/>
                      <w:szCs w:val="21"/>
                    </w:rPr>
                  </w:pPr>
                  <w:r>
                    <w:rPr>
                      <w:rFonts w:hint="eastAsia"/>
                      <w:sz w:val="21"/>
                      <w:szCs w:val="21"/>
                    </w:rPr>
                    <w:t>缺氧池</w:t>
                  </w:r>
                </w:p>
              </w:tc>
              <w:tc>
                <w:tcPr>
                  <w:tcW w:w="2198" w:type="dxa"/>
                  <w:vAlign w:val="center"/>
                </w:tcPr>
                <w:p>
                  <w:pPr>
                    <w:tabs>
                      <w:tab w:val="left" w:pos="417"/>
                      <w:tab w:val="left" w:pos="3615"/>
                    </w:tabs>
                    <w:jc w:val="center"/>
                    <w:rPr>
                      <w:sz w:val="21"/>
                      <w:szCs w:val="21"/>
                    </w:rPr>
                  </w:pPr>
                  <w:r>
                    <w:rPr>
                      <w:rFonts w:hint="eastAsia"/>
                      <w:sz w:val="21"/>
                      <w:szCs w:val="21"/>
                    </w:rPr>
                    <w:t>13.0m×3.6×6.0m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7</w:t>
                  </w:r>
                </w:p>
              </w:tc>
              <w:tc>
                <w:tcPr>
                  <w:tcW w:w="1746" w:type="dxa"/>
                  <w:vAlign w:val="center"/>
                </w:tcPr>
                <w:p>
                  <w:pPr>
                    <w:tabs>
                      <w:tab w:val="left" w:pos="417"/>
                      <w:tab w:val="left" w:pos="3615"/>
                    </w:tabs>
                    <w:jc w:val="center"/>
                    <w:rPr>
                      <w:sz w:val="21"/>
                      <w:szCs w:val="21"/>
                    </w:rPr>
                  </w:pPr>
                  <w:r>
                    <w:rPr>
                      <w:rFonts w:hint="eastAsia"/>
                      <w:sz w:val="21"/>
                      <w:szCs w:val="21"/>
                    </w:rPr>
                    <w:t>厌氧池</w:t>
                  </w:r>
                </w:p>
              </w:tc>
              <w:tc>
                <w:tcPr>
                  <w:tcW w:w="2198" w:type="dxa"/>
                  <w:vAlign w:val="center"/>
                </w:tcPr>
                <w:p>
                  <w:pPr>
                    <w:tabs>
                      <w:tab w:val="left" w:pos="417"/>
                      <w:tab w:val="left" w:pos="3615"/>
                    </w:tabs>
                    <w:jc w:val="center"/>
                    <w:rPr>
                      <w:sz w:val="21"/>
                      <w:szCs w:val="21"/>
                    </w:rPr>
                  </w:pPr>
                  <w:r>
                    <w:rPr>
                      <w:rFonts w:hint="eastAsia"/>
                      <w:sz w:val="21"/>
                      <w:szCs w:val="21"/>
                    </w:rPr>
                    <w:t>11.4m×2.0×6.0m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8</w:t>
                  </w:r>
                </w:p>
              </w:tc>
              <w:tc>
                <w:tcPr>
                  <w:tcW w:w="1746" w:type="dxa"/>
                  <w:vAlign w:val="center"/>
                </w:tcPr>
                <w:p>
                  <w:pPr>
                    <w:tabs>
                      <w:tab w:val="left" w:pos="417"/>
                      <w:tab w:val="left" w:pos="3615"/>
                    </w:tabs>
                    <w:jc w:val="center"/>
                    <w:rPr>
                      <w:sz w:val="21"/>
                      <w:szCs w:val="21"/>
                    </w:rPr>
                  </w:pPr>
                  <w:r>
                    <w:rPr>
                      <w:rFonts w:hint="eastAsia"/>
                      <w:sz w:val="21"/>
                      <w:szCs w:val="21"/>
                    </w:rPr>
                    <w:t>好氧池</w:t>
                  </w:r>
                </w:p>
              </w:tc>
              <w:tc>
                <w:tcPr>
                  <w:tcW w:w="2198" w:type="dxa"/>
                  <w:vAlign w:val="center"/>
                </w:tcPr>
                <w:p>
                  <w:pPr>
                    <w:tabs>
                      <w:tab w:val="left" w:pos="417"/>
                      <w:tab w:val="left" w:pos="3615"/>
                    </w:tabs>
                    <w:jc w:val="center"/>
                    <w:rPr>
                      <w:sz w:val="21"/>
                      <w:szCs w:val="21"/>
                    </w:rPr>
                  </w:pPr>
                  <w:r>
                    <w:rPr>
                      <w:rFonts w:hint="eastAsia"/>
                      <w:sz w:val="21"/>
                      <w:szCs w:val="21"/>
                    </w:rPr>
                    <w:t>13m×4.2×6.0m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9</w:t>
                  </w:r>
                </w:p>
              </w:tc>
              <w:tc>
                <w:tcPr>
                  <w:tcW w:w="1746" w:type="dxa"/>
                  <w:vAlign w:val="center"/>
                </w:tcPr>
                <w:p>
                  <w:pPr>
                    <w:tabs>
                      <w:tab w:val="left" w:pos="417"/>
                      <w:tab w:val="left" w:pos="3615"/>
                    </w:tabs>
                    <w:jc w:val="center"/>
                    <w:rPr>
                      <w:sz w:val="21"/>
                      <w:szCs w:val="21"/>
                    </w:rPr>
                  </w:pPr>
                  <w:r>
                    <w:rPr>
                      <w:rFonts w:hint="eastAsia"/>
                      <w:sz w:val="21"/>
                      <w:szCs w:val="21"/>
                    </w:rPr>
                    <w:t>MBR膜池</w:t>
                  </w:r>
                </w:p>
              </w:tc>
              <w:tc>
                <w:tcPr>
                  <w:tcW w:w="2198" w:type="dxa"/>
                  <w:vAlign w:val="center"/>
                </w:tcPr>
                <w:p>
                  <w:pPr>
                    <w:tabs>
                      <w:tab w:val="left" w:pos="417"/>
                      <w:tab w:val="left" w:pos="3615"/>
                    </w:tabs>
                    <w:jc w:val="center"/>
                    <w:rPr>
                      <w:sz w:val="21"/>
                      <w:szCs w:val="21"/>
                    </w:rPr>
                  </w:pPr>
                  <w:r>
                    <w:rPr>
                      <w:rFonts w:hint="eastAsia"/>
                      <w:sz w:val="21"/>
                      <w:szCs w:val="21"/>
                    </w:rPr>
                    <w:t>13.0m×3.0×5.3m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10</w:t>
                  </w:r>
                </w:p>
              </w:tc>
              <w:tc>
                <w:tcPr>
                  <w:tcW w:w="1746" w:type="dxa"/>
                  <w:vAlign w:val="center"/>
                </w:tcPr>
                <w:p>
                  <w:pPr>
                    <w:tabs>
                      <w:tab w:val="left" w:pos="417"/>
                      <w:tab w:val="left" w:pos="3615"/>
                    </w:tabs>
                    <w:jc w:val="center"/>
                    <w:rPr>
                      <w:sz w:val="21"/>
                      <w:szCs w:val="21"/>
                    </w:rPr>
                  </w:pPr>
                  <w:r>
                    <w:rPr>
                      <w:rFonts w:hint="eastAsia"/>
                      <w:sz w:val="21"/>
                      <w:szCs w:val="21"/>
                    </w:rPr>
                    <w:t>膜设备间</w:t>
                  </w:r>
                </w:p>
              </w:tc>
              <w:tc>
                <w:tcPr>
                  <w:tcW w:w="2198" w:type="dxa"/>
                  <w:vAlign w:val="center"/>
                </w:tcPr>
                <w:p>
                  <w:pPr>
                    <w:tabs>
                      <w:tab w:val="left" w:pos="417"/>
                      <w:tab w:val="left" w:pos="3615"/>
                    </w:tabs>
                    <w:jc w:val="center"/>
                    <w:rPr>
                      <w:sz w:val="21"/>
                      <w:szCs w:val="21"/>
                    </w:rPr>
                  </w:pPr>
                  <w:r>
                    <w:rPr>
                      <w:rFonts w:hint="eastAsia"/>
                      <w:sz w:val="21"/>
                      <w:szCs w:val="21"/>
                    </w:rPr>
                    <w:t>13.7m×8.1×4.2m</w:t>
                  </w:r>
                </w:p>
              </w:tc>
              <w:tc>
                <w:tcPr>
                  <w:tcW w:w="1598" w:type="dxa"/>
                  <w:vAlign w:val="center"/>
                </w:tcPr>
                <w:p>
                  <w:pPr>
                    <w:tabs>
                      <w:tab w:val="left" w:pos="417"/>
                      <w:tab w:val="left" w:pos="3615"/>
                    </w:tabs>
                    <w:jc w:val="center"/>
                    <w:rPr>
                      <w:sz w:val="21"/>
                      <w:szCs w:val="21"/>
                    </w:rPr>
                  </w:pPr>
                  <w:r>
                    <w:rPr>
                      <w:rFonts w:hint="eastAsia"/>
                      <w:sz w:val="21"/>
                      <w:szCs w:val="21"/>
                    </w:rPr>
                    <w:t>框架</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11</w:t>
                  </w:r>
                </w:p>
              </w:tc>
              <w:tc>
                <w:tcPr>
                  <w:tcW w:w="1746" w:type="dxa"/>
                  <w:vAlign w:val="center"/>
                </w:tcPr>
                <w:p>
                  <w:pPr>
                    <w:tabs>
                      <w:tab w:val="left" w:pos="417"/>
                      <w:tab w:val="left" w:pos="3615"/>
                    </w:tabs>
                    <w:jc w:val="center"/>
                    <w:rPr>
                      <w:sz w:val="21"/>
                      <w:szCs w:val="21"/>
                    </w:rPr>
                  </w:pPr>
                  <w:r>
                    <w:rPr>
                      <w:rFonts w:hint="eastAsia"/>
                      <w:sz w:val="21"/>
                      <w:szCs w:val="21"/>
                    </w:rPr>
                    <w:t>清水池</w:t>
                  </w:r>
                </w:p>
              </w:tc>
              <w:tc>
                <w:tcPr>
                  <w:tcW w:w="2198" w:type="dxa"/>
                  <w:vAlign w:val="center"/>
                </w:tcPr>
                <w:p>
                  <w:pPr>
                    <w:tabs>
                      <w:tab w:val="left" w:pos="417"/>
                      <w:tab w:val="left" w:pos="3615"/>
                    </w:tabs>
                    <w:jc w:val="center"/>
                    <w:rPr>
                      <w:sz w:val="21"/>
                      <w:szCs w:val="21"/>
                    </w:rPr>
                  </w:pPr>
                  <w:r>
                    <w:rPr>
                      <w:rFonts w:hint="eastAsia"/>
                      <w:sz w:val="21"/>
                      <w:szCs w:val="21"/>
                    </w:rPr>
                    <w:t>13.0m×2.0×6.2m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12</w:t>
                  </w:r>
                </w:p>
              </w:tc>
              <w:tc>
                <w:tcPr>
                  <w:tcW w:w="1746" w:type="dxa"/>
                  <w:vAlign w:val="center"/>
                </w:tcPr>
                <w:p>
                  <w:pPr>
                    <w:tabs>
                      <w:tab w:val="left" w:pos="417"/>
                      <w:tab w:val="left" w:pos="3615"/>
                    </w:tabs>
                    <w:jc w:val="center"/>
                    <w:rPr>
                      <w:sz w:val="21"/>
                      <w:szCs w:val="21"/>
                    </w:rPr>
                  </w:pPr>
                  <w:r>
                    <w:rPr>
                      <w:rFonts w:hint="eastAsia"/>
                      <w:sz w:val="21"/>
                      <w:szCs w:val="21"/>
                    </w:rPr>
                    <w:t>污泥储泥池</w:t>
                  </w:r>
                </w:p>
              </w:tc>
              <w:tc>
                <w:tcPr>
                  <w:tcW w:w="2198" w:type="dxa"/>
                  <w:vAlign w:val="center"/>
                </w:tcPr>
                <w:p>
                  <w:pPr>
                    <w:tabs>
                      <w:tab w:val="left" w:pos="417"/>
                      <w:tab w:val="left" w:pos="3615"/>
                    </w:tabs>
                    <w:jc w:val="center"/>
                    <w:rPr>
                      <w:sz w:val="21"/>
                      <w:szCs w:val="21"/>
                    </w:rPr>
                  </w:pPr>
                  <w:r>
                    <w:rPr>
                      <w:rFonts w:hint="eastAsia"/>
                      <w:sz w:val="21"/>
                      <w:szCs w:val="21"/>
                    </w:rPr>
                    <w:t>3.8m×2.0×3.9m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13</w:t>
                  </w:r>
                </w:p>
              </w:tc>
              <w:tc>
                <w:tcPr>
                  <w:tcW w:w="1746" w:type="dxa"/>
                  <w:vAlign w:val="center"/>
                </w:tcPr>
                <w:p>
                  <w:pPr>
                    <w:tabs>
                      <w:tab w:val="left" w:pos="417"/>
                      <w:tab w:val="left" w:pos="3615"/>
                    </w:tabs>
                    <w:jc w:val="center"/>
                    <w:rPr>
                      <w:sz w:val="21"/>
                      <w:szCs w:val="21"/>
                    </w:rPr>
                  </w:pPr>
                  <w:r>
                    <w:rPr>
                      <w:rFonts w:hint="eastAsia"/>
                      <w:sz w:val="21"/>
                      <w:szCs w:val="21"/>
                    </w:rPr>
                    <w:t>清洗池</w:t>
                  </w:r>
                </w:p>
              </w:tc>
              <w:tc>
                <w:tcPr>
                  <w:tcW w:w="2198" w:type="dxa"/>
                  <w:vAlign w:val="center"/>
                </w:tcPr>
                <w:p>
                  <w:pPr>
                    <w:tabs>
                      <w:tab w:val="left" w:pos="417"/>
                      <w:tab w:val="left" w:pos="3615"/>
                    </w:tabs>
                    <w:jc w:val="center"/>
                    <w:rPr>
                      <w:sz w:val="21"/>
                      <w:szCs w:val="21"/>
                    </w:rPr>
                  </w:pPr>
                  <w:r>
                    <w:rPr>
                      <w:rFonts w:hint="eastAsia"/>
                      <w:sz w:val="21"/>
                      <w:szCs w:val="21"/>
                    </w:rPr>
                    <w:t>3.0m×2.0×2.4m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bl>
          <w:p>
            <w:pPr>
              <w:pStyle w:val="2"/>
              <w:tabs>
                <w:tab w:val="left" w:pos="3930"/>
              </w:tabs>
              <w:kinsoku w:val="0"/>
              <w:overflowPunct w:val="0"/>
              <w:spacing w:before="44" w:line="360" w:lineRule="auto"/>
              <w:ind w:right="108"/>
              <w:rPr>
                <w:b/>
                <w:bCs/>
                <w:sz w:val="21"/>
                <w:szCs w:val="16"/>
              </w:rPr>
            </w:pPr>
            <w:r>
              <w:rPr>
                <w:rFonts w:hint="eastAsia"/>
                <w:b/>
                <w:bCs/>
                <w:sz w:val="21"/>
                <w:szCs w:val="16"/>
              </w:rPr>
              <w:t xml:space="preserve">表1-12 </w:t>
            </w:r>
            <w:r>
              <w:rPr>
                <w:b/>
                <w:bCs/>
                <w:sz w:val="21"/>
                <w:szCs w:val="16"/>
              </w:rPr>
              <w:t>主要</w:t>
            </w:r>
            <w:r>
              <w:rPr>
                <w:rFonts w:hint="eastAsia"/>
                <w:b/>
                <w:bCs/>
                <w:sz w:val="21"/>
                <w:szCs w:val="16"/>
              </w:rPr>
              <w:t>工艺设备</w:t>
            </w:r>
            <w:r>
              <w:rPr>
                <w:b/>
                <w:bCs/>
                <w:sz w:val="21"/>
                <w:szCs w:val="16"/>
              </w:rPr>
              <w:t>一览表</w:t>
            </w:r>
          </w:p>
          <w:tbl>
            <w:tblPr>
              <w:tblStyle w:val="37"/>
              <w:tblW w:w="0" w:type="auto"/>
              <w:tblInd w:w="5" w:type="dxa"/>
              <w:tblLayout w:type="fixed"/>
              <w:tblCellMar>
                <w:top w:w="0" w:type="dxa"/>
                <w:left w:w="0" w:type="dxa"/>
                <w:bottom w:w="0" w:type="dxa"/>
                <w:right w:w="0" w:type="dxa"/>
              </w:tblCellMar>
            </w:tblPr>
            <w:tblGrid>
              <w:gridCol w:w="619"/>
              <w:gridCol w:w="1701"/>
              <w:gridCol w:w="3724"/>
              <w:gridCol w:w="815"/>
              <w:gridCol w:w="685"/>
              <w:gridCol w:w="1045"/>
            </w:tblGrid>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b/>
                      <w:bCs/>
                      <w:sz w:val="21"/>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工程内容</w:t>
                  </w:r>
                </w:p>
              </w:tc>
              <w:tc>
                <w:tcPr>
                  <w:tcW w:w="3724"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规格</w:t>
                  </w:r>
                </w:p>
              </w:tc>
              <w:tc>
                <w:tcPr>
                  <w:tcW w:w="815"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单位</w:t>
                  </w:r>
                </w:p>
              </w:tc>
              <w:tc>
                <w:tcPr>
                  <w:tcW w:w="685"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数量</w:t>
                  </w:r>
                </w:p>
              </w:tc>
              <w:tc>
                <w:tcPr>
                  <w:tcW w:w="1045"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备注</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机械回转式粗格栅</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宽度500mm，间隙15mm，倾角75°，功率0.55kw，渠道深2.1m</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机械回转式膜格栅</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宽度500mm，间隙3mm，倾角75°，功率 0.55kw，渠道深2.1m</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潜污泵（一级提升泵）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流量50m</w:t>
                  </w:r>
                  <w:r>
                    <w:rPr>
                      <w:sz w:val="21"/>
                      <w:szCs w:val="21"/>
                      <w:vertAlign w:val="superscript"/>
                    </w:rPr>
                    <w:t>3</w:t>
                  </w:r>
                  <w:r>
                    <w:rPr>
                      <w:sz w:val="21"/>
                      <w:szCs w:val="21"/>
                    </w:rPr>
                    <w:t xml:space="preserve">/h，扬程7m，功率3kw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1用2备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潜污泵（二级提升泵）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流量42m</w:t>
                  </w:r>
                  <w:r>
                    <w:rPr>
                      <w:sz w:val="21"/>
                      <w:szCs w:val="21"/>
                      <w:vertAlign w:val="superscript"/>
                    </w:rPr>
                    <w:t>3</w:t>
                  </w:r>
                  <w:r>
                    <w:rPr>
                      <w:sz w:val="21"/>
                      <w:szCs w:val="21"/>
                    </w:rPr>
                    <w:t xml:space="preserve">/h，扬程7m，功率3kw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5</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w:t>
                  </w:r>
                </w:p>
                <w:p>
                  <w:pPr>
                    <w:tabs>
                      <w:tab w:val="left" w:pos="417"/>
                      <w:tab w:val="left" w:pos="3615"/>
                    </w:tabs>
                    <w:jc w:val="center"/>
                    <w:rPr>
                      <w:sz w:val="21"/>
                      <w:szCs w:val="21"/>
                    </w:rPr>
                  </w:pPr>
                  <w:r>
                    <w:rPr>
                      <w:sz w:val="21"/>
                      <w:szCs w:val="21"/>
                    </w:rPr>
                    <w:t>（潜水排</w:t>
                  </w:r>
                  <w:r>
                    <w:rPr>
                      <w:rFonts w:hint="eastAsia"/>
                      <w:sz w:val="21"/>
                      <w:szCs w:val="21"/>
                    </w:rPr>
                    <w:t>1</w:t>
                  </w:r>
                  <w:r>
                    <w:rPr>
                      <w:sz w:val="21"/>
                      <w:szCs w:val="21"/>
                    </w:rPr>
                    <w:t>砂泵）</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流量5.6m</w:t>
                  </w:r>
                  <w:r>
                    <w:rPr>
                      <w:sz w:val="21"/>
                      <w:szCs w:val="21"/>
                      <w:vertAlign w:val="superscript"/>
                    </w:rPr>
                    <w:t>3</w:t>
                  </w:r>
                  <w:r>
                    <w:rPr>
                      <w:sz w:val="21"/>
                      <w:szCs w:val="21"/>
                    </w:rPr>
                    <w:t xml:space="preserve">/h，扬程7m，功率2.2kw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潜水搅拌器</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功率1.5kw，池深5.85m</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7</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回流泵（好氧池至缺氧池）</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流量200m</w:t>
                  </w:r>
                  <w:r>
                    <w:rPr>
                      <w:sz w:val="21"/>
                      <w:szCs w:val="21"/>
                      <w:vertAlign w:val="superscript"/>
                    </w:rPr>
                    <w:t>3</w:t>
                  </w:r>
                  <w:r>
                    <w:rPr>
                      <w:sz w:val="21"/>
                      <w:szCs w:val="21"/>
                    </w:rPr>
                    <w:t xml:space="preserve">/h，扬程1.0m，功率4kw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8</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回流泵（膜池至好氧池）</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流量250m</w:t>
                  </w:r>
                  <w:r>
                    <w:rPr>
                      <w:sz w:val="21"/>
                      <w:szCs w:val="21"/>
                      <w:vertAlign w:val="superscript"/>
                    </w:rPr>
                    <w:t>3</w:t>
                  </w:r>
                  <w:r>
                    <w:rPr>
                      <w:sz w:val="21"/>
                      <w:szCs w:val="21"/>
                    </w:rPr>
                    <w:t xml:space="preserve">/h，扬程1.0m，功率4kw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9</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微孔曝气器</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直径260mm，曝气量2.5～3Nm</w:t>
                  </w:r>
                  <w:r>
                    <w:rPr>
                      <w:sz w:val="21"/>
                      <w:szCs w:val="21"/>
                      <w:vertAlign w:val="superscript"/>
                    </w:rPr>
                    <w:t>3</w:t>
                  </w:r>
                  <w:r>
                    <w:rPr>
                      <w:sz w:val="21"/>
                      <w:szCs w:val="21"/>
                    </w:rPr>
                    <w:t>/（h•支）</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支</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230</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10</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膜组器</w:t>
                  </w:r>
                </w:p>
              </w:tc>
              <w:tc>
                <w:tcPr>
                  <w:tcW w:w="3724" w:type="dxa"/>
                  <w:tcBorders>
                    <w:top w:val="single" w:color="auto" w:sz="4" w:space="0"/>
                    <w:left w:val="single" w:color="auto" w:sz="4" w:space="0"/>
                    <w:bottom w:val="single" w:color="auto" w:sz="4" w:space="0"/>
                    <w:right w:val="single" w:color="auto" w:sz="4" w:space="0"/>
                  </w:tcBorders>
                  <w:vAlign w:val="center"/>
                </w:tcPr>
                <w:p>
                  <w:pPr>
                    <w:rPr>
                      <w:sz w:val="21"/>
                      <w:szCs w:val="21"/>
                    </w:rPr>
                  </w:pPr>
                  <w:r>
                    <w:rPr>
                      <w:sz w:val="21"/>
                      <w:szCs w:val="21"/>
                    </w:rPr>
                    <w:t>片数20 片/组，膜面积35m</w:t>
                  </w:r>
                  <w:r>
                    <w:rPr>
                      <w:sz w:val="21"/>
                      <w:szCs w:val="21"/>
                      <w:vertAlign w:val="superscript"/>
                    </w:rPr>
                    <w:t>2</w:t>
                  </w:r>
                  <w:r>
                    <w:rPr>
                      <w:sz w:val="21"/>
                      <w:szCs w:val="21"/>
                    </w:rPr>
                    <w:t>/片，PVDF中空纤维带衬膜</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套</w:t>
                  </w:r>
                </w:p>
              </w:tc>
              <w:tc>
                <w:tcPr>
                  <w:tcW w:w="685" w:type="dxa"/>
                  <w:tcBorders>
                    <w:top w:val="single" w:color="auto" w:sz="4" w:space="0"/>
                    <w:left w:val="single" w:color="auto" w:sz="4" w:space="0"/>
                    <w:bottom w:val="single" w:color="auto" w:sz="4" w:space="0"/>
                    <w:right w:val="single" w:color="auto" w:sz="4" w:space="0"/>
                  </w:tcBorders>
                  <w:vAlign w:val="center"/>
                </w:tcPr>
                <w:p>
                  <w:pPr>
                    <w:rPr>
                      <w:sz w:val="21"/>
                      <w:szCs w:val="21"/>
                    </w:rPr>
                  </w:pPr>
                  <w:r>
                    <w:rPr>
                      <w:sz w:val="21"/>
                      <w:szCs w:val="21"/>
                    </w:rPr>
                    <w:t xml:space="preserve">  5</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11</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剩余污泥泵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流量8m</w:t>
                  </w:r>
                  <w:r>
                    <w:rPr>
                      <w:sz w:val="21"/>
                      <w:szCs w:val="21"/>
                      <w:vertAlign w:val="superscript"/>
                    </w:rPr>
                    <w:t>3</w:t>
                  </w:r>
                  <w:r>
                    <w:rPr>
                      <w:sz w:val="21"/>
                      <w:szCs w:val="21"/>
                    </w:rPr>
                    <w:t>/h，扬程6m，功率0.75kw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12</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产水泵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流量23m</w:t>
                  </w:r>
                  <w:r>
                    <w:rPr>
                      <w:sz w:val="21"/>
                      <w:szCs w:val="21"/>
                      <w:vertAlign w:val="superscript"/>
                    </w:rPr>
                    <w:t>3</w:t>
                  </w:r>
                  <w:r>
                    <w:rPr>
                      <w:sz w:val="21"/>
                      <w:szCs w:val="21"/>
                    </w:rPr>
                    <w:t xml:space="preserve">/h，扬程8m，功率4kw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套</w:t>
                  </w:r>
                </w:p>
              </w:tc>
              <w:tc>
                <w:tcPr>
                  <w:tcW w:w="685" w:type="dxa"/>
                  <w:tcBorders>
                    <w:top w:val="single" w:color="auto" w:sz="4" w:space="0"/>
                    <w:left w:val="single" w:color="auto" w:sz="4" w:space="0"/>
                    <w:bottom w:val="single" w:color="auto" w:sz="4" w:space="0"/>
                    <w:right w:val="single" w:color="auto" w:sz="4" w:space="0"/>
                  </w:tcBorders>
                  <w:vAlign w:val="center"/>
                </w:tcPr>
                <w:p>
                  <w:pPr>
                    <w:rPr>
                      <w:sz w:val="21"/>
                      <w:szCs w:val="21"/>
                    </w:rPr>
                  </w:pPr>
                  <w:r>
                    <w:rPr>
                      <w:sz w:val="21"/>
                      <w:szCs w:val="21"/>
                    </w:rPr>
                    <w:t xml:space="preserve">  5</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13</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CIP泵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流量16m</w:t>
                  </w:r>
                  <w:r>
                    <w:rPr>
                      <w:sz w:val="21"/>
                      <w:szCs w:val="21"/>
                      <w:vertAlign w:val="superscript"/>
                    </w:rPr>
                    <w:t>3</w:t>
                  </w:r>
                  <w:r>
                    <w:rPr>
                      <w:sz w:val="21"/>
                      <w:szCs w:val="21"/>
                    </w:rPr>
                    <w:t xml:space="preserve">/h，扬程12m，功率1.5kw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14</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好氧曝气鼓风机</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流量11Nm</w:t>
                  </w:r>
                  <w:r>
                    <w:rPr>
                      <w:sz w:val="21"/>
                      <w:szCs w:val="21"/>
                      <w:vertAlign w:val="superscript"/>
                    </w:rPr>
                    <w:t>3</w:t>
                  </w:r>
                  <w:r>
                    <w:rPr>
                      <w:sz w:val="21"/>
                      <w:szCs w:val="21"/>
                    </w:rPr>
                    <w:t>/min，风压60kPa，功率18.5kw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15</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膜吹扫鼓风机</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流量17.17Nm</w:t>
                  </w:r>
                  <w:r>
                    <w:rPr>
                      <w:sz w:val="21"/>
                      <w:szCs w:val="21"/>
                      <w:vertAlign w:val="superscript"/>
                    </w:rPr>
                    <w:t>3</w:t>
                  </w:r>
                  <w:r>
                    <w:rPr>
                      <w:sz w:val="21"/>
                      <w:szCs w:val="21"/>
                    </w:rPr>
                    <w:t>/min，风压50kPa，功率18.5kw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16</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 xml:space="preserve">格栅冲洗水泵 </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流量9m</w:t>
                  </w:r>
                  <w:r>
                    <w:rPr>
                      <w:sz w:val="21"/>
                      <w:szCs w:val="21"/>
                      <w:vertAlign w:val="superscript"/>
                    </w:rPr>
                    <w:t>3</w:t>
                  </w:r>
                  <w:r>
                    <w:rPr>
                      <w:sz w:val="21"/>
                      <w:szCs w:val="21"/>
                    </w:rPr>
                    <w:t xml:space="preserve">/h，扬程75m，功率4kw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17</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潜水搅拌器</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功率1.5kw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18</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流量6m</w:t>
                  </w:r>
                  <w:r>
                    <w:rPr>
                      <w:sz w:val="21"/>
                      <w:szCs w:val="21"/>
                      <w:vertAlign w:val="superscript"/>
                    </w:rPr>
                    <w:t>3</w:t>
                  </w:r>
                  <w:r>
                    <w:rPr>
                      <w:sz w:val="21"/>
                      <w:szCs w:val="21"/>
                    </w:rPr>
                    <w:t xml:space="preserve">/h，扬程20m，功率2.2kw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bl>
          <w:p>
            <w:pPr>
              <w:pStyle w:val="2"/>
              <w:tabs>
                <w:tab w:val="left" w:pos="3930"/>
              </w:tabs>
              <w:kinsoku w:val="0"/>
              <w:overflowPunct w:val="0"/>
              <w:spacing w:before="44" w:line="360" w:lineRule="auto"/>
              <w:ind w:right="108"/>
              <w:rPr>
                <w:b/>
                <w:bCs/>
                <w:sz w:val="21"/>
                <w:szCs w:val="16"/>
              </w:rPr>
            </w:pPr>
            <w:r>
              <w:rPr>
                <w:rFonts w:hint="eastAsia"/>
                <w:b/>
                <w:bCs/>
                <w:sz w:val="21"/>
                <w:szCs w:val="16"/>
              </w:rPr>
              <w:t>表1-13   CWT一体化设备参数表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4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b/>
                      <w:bCs/>
                      <w:sz w:val="21"/>
                      <w:szCs w:val="21"/>
                    </w:rPr>
                  </w:pPr>
                  <w:r>
                    <w:rPr>
                      <w:b/>
                      <w:bCs/>
                      <w:sz w:val="21"/>
                      <w:szCs w:val="21"/>
                    </w:rPr>
                    <w:t>型号</w:t>
                  </w:r>
                </w:p>
              </w:tc>
              <w:tc>
                <w:tcPr>
                  <w:tcW w:w="4671" w:type="dxa"/>
                  <w:vAlign w:val="center"/>
                </w:tcPr>
                <w:p>
                  <w:pPr>
                    <w:jc w:val="center"/>
                    <w:rPr>
                      <w:b/>
                      <w:bCs/>
                      <w:sz w:val="21"/>
                      <w:szCs w:val="21"/>
                    </w:rPr>
                  </w:pPr>
                  <w:r>
                    <w:rPr>
                      <w:b/>
                      <w:bCs/>
                      <w:sz w:val="21"/>
                      <w:szCs w:val="21"/>
                    </w:rPr>
                    <w:t>CWT-A-500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日处理量(m</w:t>
                  </w:r>
                  <w:r>
                    <w:rPr>
                      <w:sz w:val="21"/>
                      <w:szCs w:val="21"/>
                      <w:vertAlign w:val="superscript"/>
                    </w:rPr>
                    <w:t>3</w:t>
                  </w:r>
                  <w:r>
                    <w:rPr>
                      <w:sz w:val="21"/>
                      <w:szCs w:val="21"/>
                    </w:rPr>
                    <w:t>/d)</w:t>
                  </w:r>
                </w:p>
              </w:tc>
              <w:tc>
                <w:tcPr>
                  <w:tcW w:w="4671" w:type="dxa"/>
                  <w:vAlign w:val="center"/>
                </w:tcPr>
                <w:p>
                  <w:pPr>
                    <w:jc w:val="center"/>
                    <w:rPr>
                      <w:sz w:val="21"/>
                      <w:szCs w:val="21"/>
                    </w:rPr>
                  </w:pPr>
                  <w:r>
                    <w:rPr>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膜片类型</w:t>
                  </w:r>
                </w:p>
              </w:tc>
              <w:tc>
                <w:tcPr>
                  <w:tcW w:w="4671" w:type="dxa"/>
                  <w:vAlign w:val="center"/>
                </w:tcPr>
                <w:p>
                  <w:pPr>
                    <w:jc w:val="center"/>
                    <w:rPr>
                      <w:sz w:val="21"/>
                      <w:szCs w:val="21"/>
                    </w:rPr>
                  </w:pPr>
                  <w:r>
                    <w:rPr>
                      <w:sz w:val="21"/>
                      <w:szCs w:val="21"/>
                    </w:rPr>
                    <w:t>RF-Ⅱ，帘式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膜丝断裂力</w:t>
                  </w:r>
                </w:p>
              </w:tc>
              <w:tc>
                <w:tcPr>
                  <w:tcW w:w="4671" w:type="dxa"/>
                  <w:vAlign w:val="center"/>
                </w:tcPr>
                <w:p>
                  <w:pPr>
                    <w:jc w:val="center"/>
                    <w:rPr>
                      <w:sz w:val="21"/>
                      <w:szCs w:val="21"/>
                    </w:rPr>
                  </w:pPr>
                  <w:r>
                    <w:rPr>
                      <w:sz w:val="21"/>
                      <w:szCs w:val="21"/>
                    </w:rPr>
                    <w:t>≥246N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膜材质</w:t>
                  </w:r>
                </w:p>
              </w:tc>
              <w:tc>
                <w:tcPr>
                  <w:tcW w:w="4671" w:type="dxa"/>
                  <w:vAlign w:val="center"/>
                </w:tcPr>
                <w:p>
                  <w:pPr>
                    <w:rPr>
                      <w:sz w:val="21"/>
                      <w:szCs w:val="21"/>
                    </w:rPr>
                  </w:pPr>
                  <w:r>
                    <w:rPr>
                      <w:sz w:val="21"/>
                      <w:szCs w:val="21"/>
                    </w:rPr>
                    <w:t>纤维网增强聚偏氟乙烯PVDF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长×宽×高(m)</w:t>
                  </w:r>
                </w:p>
              </w:tc>
              <w:tc>
                <w:tcPr>
                  <w:tcW w:w="4671" w:type="dxa"/>
                  <w:vAlign w:val="center"/>
                </w:tcPr>
                <w:p>
                  <w:pPr>
                    <w:rPr>
                      <w:sz w:val="21"/>
                      <w:szCs w:val="21"/>
                    </w:rPr>
                  </w:pPr>
                  <w:r>
                    <w:rPr>
                      <w:sz w:val="21"/>
                      <w:szCs w:val="21"/>
                    </w:rPr>
                    <w:t>14.0×2.5×3.0（14.96×2.77×3.53) (2套)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电压(V)</w:t>
                  </w:r>
                </w:p>
              </w:tc>
              <w:tc>
                <w:tcPr>
                  <w:tcW w:w="4671" w:type="dxa"/>
                  <w:vAlign w:val="center"/>
                </w:tcPr>
                <w:p>
                  <w:pPr>
                    <w:jc w:val="center"/>
                    <w:rPr>
                      <w:sz w:val="21"/>
                      <w:szCs w:val="21"/>
                    </w:rPr>
                  </w:pPr>
                  <w:r>
                    <w:rPr>
                      <w:sz w:val="21"/>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装机功率(kw)</w:t>
                  </w:r>
                </w:p>
              </w:tc>
              <w:tc>
                <w:tcPr>
                  <w:tcW w:w="4671" w:type="dxa"/>
                  <w:vAlign w:val="center"/>
                </w:tcPr>
                <w:p>
                  <w:pPr>
                    <w:jc w:val="center"/>
                    <w:rPr>
                      <w:sz w:val="21"/>
                      <w:szCs w:val="21"/>
                    </w:rPr>
                  </w:pPr>
                  <w:r>
                    <w:rPr>
                      <w:sz w:val="21"/>
                      <w:szCs w:val="21"/>
                    </w:rPr>
                    <w:t>15.612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钢箱材质</w:t>
                  </w:r>
                </w:p>
              </w:tc>
              <w:tc>
                <w:tcPr>
                  <w:tcW w:w="4671" w:type="dxa"/>
                  <w:vAlign w:val="center"/>
                </w:tcPr>
                <w:p>
                  <w:pPr>
                    <w:jc w:val="center"/>
                    <w:rPr>
                      <w:sz w:val="21"/>
                      <w:szCs w:val="21"/>
                    </w:rPr>
                  </w:pPr>
                  <w:r>
                    <w:rPr>
                      <w:sz w:val="21"/>
                      <w:szCs w:val="21"/>
                    </w:rPr>
                    <w:t>碳钢防腐</w:t>
                  </w:r>
                </w:p>
              </w:tc>
            </w:tr>
          </w:tbl>
          <w:p>
            <w:pPr>
              <w:pStyle w:val="2"/>
              <w:tabs>
                <w:tab w:val="left" w:pos="3930"/>
              </w:tabs>
              <w:kinsoku w:val="0"/>
              <w:overflowPunct w:val="0"/>
              <w:adjustRightInd w:val="0"/>
              <w:snapToGrid w:val="0"/>
              <w:spacing w:beforeLines="50" w:after="0" w:line="360" w:lineRule="auto"/>
              <w:ind w:firstLine="482" w:firstLineChars="200"/>
              <w:jc w:val="both"/>
              <w:rPr>
                <w:b/>
                <w:bCs/>
              </w:rPr>
            </w:pPr>
            <w:r>
              <w:rPr>
                <w:rFonts w:hint="eastAsia"/>
                <w:b/>
                <w:bCs/>
              </w:rPr>
              <w:t xml:space="preserve">  4、管网修复完善主要工程量</w:t>
            </w:r>
          </w:p>
          <w:p>
            <w:pPr>
              <w:pStyle w:val="2"/>
              <w:tabs>
                <w:tab w:val="left" w:pos="3930"/>
              </w:tabs>
              <w:kinsoku w:val="0"/>
              <w:overflowPunct w:val="0"/>
              <w:adjustRightInd w:val="0"/>
              <w:snapToGrid w:val="0"/>
              <w:spacing w:before="44" w:line="360" w:lineRule="auto"/>
              <w:ind w:right="108"/>
              <w:rPr>
                <w:b/>
                <w:szCs w:val="24"/>
              </w:rPr>
            </w:pPr>
            <w:r>
              <w:rPr>
                <w:rFonts w:hint="eastAsia"/>
                <w:b/>
                <w:bCs/>
                <w:sz w:val="21"/>
                <w:szCs w:val="16"/>
              </w:rPr>
              <w:t>表1-14 管网修复完善工程数量表  单位：m</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
              <w:gridCol w:w="329"/>
              <w:gridCol w:w="662"/>
              <w:gridCol w:w="425"/>
              <w:gridCol w:w="425"/>
              <w:gridCol w:w="425"/>
              <w:gridCol w:w="413"/>
              <w:gridCol w:w="450"/>
              <w:gridCol w:w="387"/>
              <w:gridCol w:w="538"/>
              <w:gridCol w:w="475"/>
              <w:gridCol w:w="437"/>
              <w:gridCol w:w="475"/>
              <w:gridCol w:w="425"/>
              <w:gridCol w:w="463"/>
              <w:gridCol w:w="475"/>
              <w:gridCol w:w="575"/>
              <w:gridCol w:w="492"/>
              <w:gridCol w:w="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244" w:type="dxa"/>
                  <w:vMerge w:val="restart"/>
                  <w:tcMar>
                    <w:top w:w="15" w:type="dxa"/>
                    <w:left w:w="15" w:type="dxa"/>
                    <w:right w:w="15" w:type="dxa"/>
                  </w:tcMar>
                  <w:vAlign w:val="center"/>
                </w:tcPr>
                <w:p>
                  <w:pPr>
                    <w:tabs>
                      <w:tab w:val="left" w:pos="417"/>
                      <w:tab w:val="left" w:pos="3615"/>
                    </w:tabs>
                    <w:jc w:val="center"/>
                    <w:rPr>
                      <w:b/>
                      <w:bCs/>
                      <w:sz w:val="20"/>
                    </w:rPr>
                  </w:pPr>
                  <w:r>
                    <w:rPr>
                      <w:b/>
                      <w:bCs/>
                      <w:sz w:val="20"/>
                    </w:rPr>
                    <w:t>乡镇</w:t>
                  </w:r>
                </w:p>
              </w:tc>
              <w:tc>
                <w:tcPr>
                  <w:tcW w:w="329" w:type="dxa"/>
                  <w:vMerge w:val="restart"/>
                  <w:tcMar>
                    <w:top w:w="15" w:type="dxa"/>
                    <w:left w:w="15" w:type="dxa"/>
                    <w:right w:w="15" w:type="dxa"/>
                  </w:tcMar>
                  <w:vAlign w:val="center"/>
                </w:tcPr>
                <w:p>
                  <w:pPr>
                    <w:tabs>
                      <w:tab w:val="left" w:pos="417"/>
                      <w:tab w:val="left" w:pos="3615"/>
                    </w:tabs>
                    <w:jc w:val="center"/>
                    <w:rPr>
                      <w:b/>
                      <w:bCs/>
                      <w:sz w:val="20"/>
                    </w:rPr>
                  </w:pPr>
                  <w:r>
                    <w:rPr>
                      <w:b/>
                      <w:bCs/>
                      <w:sz w:val="20"/>
                    </w:rPr>
                    <w:t>村委会</w:t>
                  </w:r>
                </w:p>
              </w:tc>
              <w:tc>
                <w:tcPr>
                  <w:tcW w:w="662" w:type="dxa"/>
                  <w:vMerge w:val="restart"/>
                  <w:tcMar>
                    <w:top w:w="15" w:type="dxa"/>
                    <w:left w:w="15" w:type="dxa"/>
                    <w:right w:w="15" w:type="dxa"/>
                  </w:tcMar>
                  <w:vAlign w:val="center"/>
                </w:tcPr>
                <w:p>
                  <w:pPr>
                    <w:tabs>
                      <w:tab w:val="left" w:pos="417"/>
                      <w:tab w:val="left" w:pos="3615"/>
                    </w:tabs>
                    <w:jc w:val="center"/>
                    <w:rPr>
                      <w:b/>
                      <w:bCs/>
                      <w:sz w:val="20"/>
                    </w:rPr>
                  </w:pPr>
                  <w:r>
                    <w:rPr>
                      <w:b/>
                      <w:bCs/>
                      <w:sz w:val="20"/>
                    </w:rPr>
                    <w:t>自然村</w:t>
                  </w:r>
                </w:p>
              </w:tc>
              <w:tc>
                <w:tcPr>
                  <w:tcW w:w="850" w:type="dxa"/>
                  <w:gridSpan w:val="2"/>
                  <w:tcMar>
                    <w:top w:w="15" w:type="dxa"/>
                    <w:left w:w="15" w:type="dxa"/>
                    <w:right w:w="15" w:type="dxa"/>
                  </w:tcMar>
                  <w:vAlign w:val="center"/>
                </w:tcPr>
                <w:p>
                  <w:pPr>
                    <w:tabs>
                      <w:tab w:val="left" w:pos="417"/>
                      <w:tab w:val="left" w:pos="3615"/>
                    </w:tabs>
                    <w:jc w:val="center"/>
                    <w:rPr>
                      <w:b/>
                      <w:bCs/>
                      <w:sz w:val="20"/>
                    </w:rPr>
                  </w:pPr>
                  <w:r>
                    <w:rPr>
                      <w:b/>
                      <w:bCs/>
                      <w:sz w:val="20"/>
                    </w:rPr>
                    <w:t>新建接户管</w:t>
                  </w:r>
                </w:p>
              </w:tc>
              <w:tc>
                <w:tcPr>
                  <w:tcW w:w="838" w:type="dxa"/>
                  <w:gridSpan w:val="2"/>
                  <w:tcMar>
                    <w:top w:w="15" w:type="dxa"/>
                    <w:left w:w="15" w:type="dxa"/>
                    <w:right w:w="15" w:type="dxa"/>
                  </w:tcMar>
                  <w:vAlign w:val="center"/>
                </w:tcPr>
                <w:p>
                  <w:pPr>
                    <w:tabs>
                      <w:tab w:val="left" w:pos="417"/>
                      <w:tab w:val="left" w:pos="3615"/>
                    </w:tabs>
                    <w:jc w:val="center"/>
                    <w:rPr>
                      <w:b/>
                      <w:bCs/>
                      <w:sz w:val="20"/>
                    </w:rPr>
                  </w:pPr>
                  <w:r>
                    <w:rPr>
                      <w:b/>
                      <w:bCs/>
                      <w:sz w:val="20"/>
                    </w:rPr>
                    <w:t>修复接户管</w:t>
                  </w:r>
                </w:p>
              </w:tc>
              <w:tc>
                <w:tcPr>
                  <w:tcW w:w="837" w:type="dxa"/>
                  <w:gridSpan w:val="2"/>
                  <w:tcMar>
                    <w:top w:w="15" w:type="dxa"/>
                    <w:left w:w="15" w:type="dxa"/>
                    <w:right w:w="15" w:type="dxa"/>
                  </w:tcMar>
                  <w:vAlign w:val="center"/>
                </w:tcPr>
                <w:p>
                  <w:pPr>
                    <w:tabs>
                      <w:tab w:val="left" w:pos="417"/>
                      <w:tab w:val="left" w:pos="3615"/>
                    </w:tabs>
                    <w:jc w:val="center"/>
                    <w:rPr>
                      <w:b/>
                      <w:bCs/>
                      <w:sz w:val="20"/>
                    </w:rPr>
                  </w:pPr>
                  <w:r>
                    <w:rPr>
                      <w:b/>
                      <w:bCs/>
                      <w:sz w:val="20"/>
                    </w:rPr>
                    <w:t>污水管（新建）</w:t>
                  </w:r>
                </w:p>
              </w:tc>
              <w:tc>
                <w:tcPr>
                  <w:tcW w:w="1013" w:type="dxa"/>
                  <w:gridSpan w:val="2"/>
                  <w:tcMar>
                    <w:top w:w="15" w:type="dxa"/>
                    <w:left w:w="15" w:type="dxa"/>
                    <w:right w:w="15" w:type="dxa"/>
                  </w:tcMar>
                  <w:vAlign w:val="center"/>
                </w:tcPr>
                <w:p>
                  <w:pPr>
                    <w:tabs>
                      <w:tab w:val="left" w:pos="417"/>
                      <w:tab w:val="left" w:pos="3615"/>
                    </w:tabs>
                    <w:jc w:val="center"/>
                    <w:rPr>
                      <w:b/>
                      <w:bCs/>
                      <w:sz w:val="20"/>
                    </w:rPr>
                  </w:pPr>
                  <w:r>
                    <w:rPr>
                      <w:b/>
                      <w:bCs/>
                      <w:sz w:val="20"/>
                    </w:rPr>
                    <w:t>污水管（修复/改造）</w:t>
                  </w:r>
                </w:p>
              </w:tc>
              <w:tc>
                <w:tcPr>
                  <w:tcW w:w="1337" w:type="dxa"/>
                  <w:gridSpan w:val="3"/>
                  <w:tcMar>
                    <w:top w:w="15" w:type="dxa"/>
                    <w:left w:w="15" w:type="dxa"/>
                    <w:right w:w="15" w:type="dxa"/>
                  </w:tcMar>
                  <w:vAlign w:val="center"/>
                </w:tcPr>
                <w:p>
                  <w:pPr>
                    <w:tabs>
                      <w:tab w:val="left" w:pos="417"/>
                      <w:tab w:val="left" w:pos="3615"/>
                    </w:tabs>
                    <w:jc w:val="center"/>
                    <w:rPr>
                      <w:b/>
                      <w:bCs/>
                      <w:sz w:val="20"/>
                    </w:rPr>
                  </w:pPr>
                  <w:r>
                    <w:rPr>
                      <w:b/>
                      <w:bCs/>
                      <w:sz w:val="20"/>
                    </w:rPr>
                    <w:t>检查井</w:t>
                  </w:r>
                </w:p>
                <w:p>
                  <w:pPr>
                    <w:tabs>
                      <w:tab w:val="left" w:pos="417"/>
                      <w:tab w:val="left" w:pos="3615"/>
                    </w:tabs>
                    <w:jc w:val="center"/>
                    <w:rPr>
                      <w:b/>
                      <w:bCs/>
                      <w:sz w:val="20"/>
                    </w:rPr>
                  </w:pPr>
                  <w:r>
                    <w:rPr>
                      <w:b/>
                      <w:bCs/>
                      <w:sz w:val="20"/>
                    </w:rPr>
                    <w:t>（新建）座</w:t>
                  </w:r>
                </w:p>
              </w:tc>
              <w:tc>
                <w:tcPr>
                  <w:tcW w:w="1513" w:type="dxa"/>
                  <w:gridSpan w:val="3"/>
                  <w:tcMar>
                    <w:top w:w="15" w:type="dxa"/>
                    <w:left w:w="15" w:type="dxa"/>
                    <w:right w:w="15" w:type="dxa"/>
                  </w:tcMar>
                  <w:vAlign w:val="center"/>
                </w:tcPr>
                <w:p>
                  <w:pPr>
                    <w:tabs>
                      <w:tab w:val="left" w:pos="417"/>
                      <w:tab w:val="left" w:pos="3615"/>
                    </w:tabs>
                    <w:jc w:val="center"/>
                    <w:rPr>
                      <w:b/>
                      <w:bCs/>
                      <w:sz w:val="20"/>
                    </w:rPr>
                  </w:pPr>
                  <w:r>
                    <w:rPr>
                      <w:b/>
                      <w:bCs/>
                      <w:sz w:val="20"/>
                    </w:rPr>
                    <w:t>检查井（修复/改造）座</w:t>
                  </w:r>
                </w:p>
              </w:tc>
              <w:tc>
                <w:tcPr>
                  <w:tcW w:w="492" w:type="dxa"/>
                  <w:vMerge w:val="restart"/>
                  <w:tcMar>
                    <w:top w:w="15" w:type="dxa"/>
                    <w:left w:w="15" w:type="dxa"/>
                    <w:right w:w="15" w:type="dxa"/>
                  </w:tcMar>
                  <w:vAlign w:val="center"/>
                </w:tcPr>
                <w:p>
                  <w:pPr>
                    <w:tabs>
                      <w:tab w:val="left" w:pos="417"/>
                      <w:tab w:val="left" w:pos="3615"/>
                    </w:tabs>
                    <w:jc w:val="center"/>
                    <w:rPr>
                      <w:b/>
                      <w:bCs/>
                      <w:sz w:val="20"/>
                    </w:rPr>
                  </w:pPr>
                  <w:r>
                    <w:rPr>
                      <w:b/>
                      <w:bCs/>
                      <w:sz w:val="20"/>
                    </w:rPr>
                    <w:t>管网检测</w:t>
                  </w:r>
                </w:p>
              </w:tc>
              <w:tc>
                <w:tcPr>
                  <w:tcW w:w="474" w:type="dxa"/>
                  <w:vMerge w:val="restart"/>
                  <w:tcMar>
                    <w:top w:w="15" w:type="dxa"/>
                    <w:left w:w="15" w:type="dxa"/>
                    <w:right w:w="15" w:type="dxa"/>
                  </w:tcMar>
                  <w:vAlign w:val="center"/>
                </w:tcPr>
                <w:p>
                  <w:pPr>
                    <w:tabs>
                      <w:tab w:val="left" w:pos="417"/>
                      <w:tab w:val="left" w:pos="3615"/>
                    </w:tabs>
                    <w:jc w:val="center"/>
                    <w:rPr>
                      <w:b/>
                      <w:bCs/>
                      <w:sz w:val="20"/>
                    </w:rPr>
                  </w:pPr>
                  <w:r>
                    <w:rPr>
                      <w:b/>
                      <w:bCs/>
                      <w:sz w:val="20"/>
                    </w:rPr>
                    <w:t>管网清淤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244" w:type="dxa"/>
                  <w:vMerge w:val="continue"/>
                  <w:tcMar>
                    <w:top w:w="15" w:type="dxa"/>
                    <w:left w:w="15" w:type="dxa"/>
                    <w:right w:w="15" w:type="dxa"/>
                  </w:tcMar>
                  <w:vAlign w:val="center"/>
                </w:tcPr>
                <w:p>
                  <w:pPr>
                    <w:tabs>
                      <w:tab w:val="left" w:pos="417"/>
                      <w:tab w:val="left" w:pos="3615"/>
                    </w:tabs>
                    <w:jc w:val="center"/>
                    <w:rPr>
                      <w:b/>
                      <w:bCs/>
                      <w:sz w:val="20"/>
                    </w:rPr>
                  </w:pPr>
                </w:p>
              </w:tc>
              <w:tc>
                <w:tcPr>
                  <w:tcW w:w="329" w:type="dxa"/>
                  <w:vMerge w:val="continue"/>
                  <w:tcMar>
                    <w:top w:w="15" w:type="dxa"/>
                    <w:left w:w="15" w:type="dxa"/>
                    <w:right w:w="15" w:type="dxa"/>
                  </w:tcMar>
                  <w:vAlign w:val="center"/>
                </w:tcPr>
                <w:p>
                  <w:pPr>
                    <w:tabs>
                      <w:tab w:val="left" w:pos="417"/>
                      <w:tab w:val="left" w:pos="3615"/>
                    </w:tabs>
                    <w:jc w:val="center"/>
                    <w:rPr>
                      <w:b/>
                      <w:bCs/>
                      <w:sz w:val="20"/>
                    </w:rPr>
                  </w:pPr>
                </w:p>
              </w:tc>
              <w:tc>
                <w:tcPr>
                  <w:tcW w:w="662" w:type="dxa"/>
                  <w:vMerge w:val="continue"/>
                  <w:tcMar>
                    <w:top w:w="15" w:type="dxa"/>
                    <w:left w:w="15" w:type="dxa"/>
                    <w:right w:w="15" w:type="dxa"/>
                  </w:tcMar>
                  <w:vAlign w:val="center"/>
                </w:tcPr>
                <w:p>
                  <w:pPr>
                    <w:tabs>
                      <w:tab w:val="left" w:pos="417"/>
                      <w:tab w:val="left" w:pos="3615"/>
                    </w:tabs>
                    <w:jc w:val="center"/>
                    <w:rPr>
                      <w:b/>
                      <w:bCs/>
                      <w:sz w:val="20"/>
                    </w:rPr>
                  </w:pP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110</w:t>
                  </w: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160</w:t>
                  </w: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110</w:t>
                  </w:r>
                </w:p>
              </w:tc>
              <w:tc>
                <w:tcPr>
                  <w:tcW w:w="413"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160</w:t>
                  </w:r>
                </w:p>
              </w:tc>
              <w:tc>
                <w:tcPr>
                  <w:tcW w:w="450"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300</w:t>
                  </w:r>
                </w:p>
              </w:tc>
              <w:tc>
                <w:tcPr>
                  <w:tcW w:w="387"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400</w:t>
                  </w:r>
                </w:p>
              </w:tc>
              <w:tc>
                <w:tcPr>
                  <w:tcW w:w="538"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300</w:t>
                  </w:r>
                </w:p>
              </w:tc>
              <w:tc>
                <w:tcPr>
                  <w:tcW w:w="47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400</w:t>
                  </w:r>
                </w:p>
              </w:tc>
              <w:tc>
                <w:tcPr>
                  <w:tcW w:w="437" w:type="dxa"/>
                  <w:tcMar>
                    <w:top w:w="15" w:type="dxa"/>
                    <w:left w:w="15" w:type="dxa"/>
                    <w:right w:w="15" w:type="dxa"/>
                  </w:tcMar>
                  <w:vAlign w:val="center"/>
                </w:tcPr>
                <w:p>
                  <w:pPr>
                    <w:tabs>
                      <w:tab w:val="left" w:pos="417"/>
                      <w:tab w:val="left" w:pos="3615"/>
                    </w:tabs>
                    <w:jc w:val="center"/>
                    <w:rPr>
                      <w:b/>
                      <w:bCs/>
                      <w:sz w:val="20"/>
                    </w:rPr>
                  </w:pPr>
                  <w:r>
                    <w:rPr>
                      <w:b/>
                      <w:bCs/>
                      <w:sz w:val="20"/>
                    </w:rPr>
                    <w:t>φ315</w:t>
                  </w:r>
                </w:p>
              </w:tc>
              <w:tc>
                <w:tcPr>
                  <w:tcW w:w="475" w:type="dxa"/>
                  <w:tcMar>
                    <w:top w:w="15" w:type="dxa"/>
                    <w:left w:w="15" w:type="dxa"/>
                    <w:right w:w="15" w:type="dxa"/>
                  </w:tcMar>
                  <w:vAlign w:val="center"/>
                </w:tcPr>
                <w:p>
                  <w:pPr>
                    <w:tabs>
                      <w:tab w:val="left" w:pos="417"/>
                      <w:tab w:val="left" w:pos="3615"/>
                    </w:tabs>
                    <w:jc w:val="center"/>
                    <w:rPr>
                      <w:b/>
                      <w:bCs/>
                      <w:sz w:val="20"/>
                    </w:rPr>
                  </w:pPr>
                  <w:r>
                    <w:rPr>
                      <w:b/>
                      <w:bCs/>
                      <w:sz w:val="20"/>
                    </w:rPr>
                    <w:t>φ700</w:t>
                  </w: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φ1000</w:t>
                  </w:r>
                </w:p>
              </w:tc>
              <w:tc>
                <w:tcPr>
                  <w:tcW w:w="463" w:type="dxa"/>
                  <w:tcMar>
                    <w:top w:w="15" w:type="dxa"/>
                    <w:left w:w="15" w:type="dxa"/>
                    <w:right w:w="15" w:type="dxa"/>
                  </w:tcMar>
                  <w:vAlign w:val="center"/>
                </w:tcPr>
                <w:p>
                  <w:pPr>
                    <w:tabs>
                      <w:tab w:val="left" w:pos="417"/>
                      <w:tab w:val="left" w:pos="3615"/>
                    </w:tabs>
                    <w:jc w:val="center"/>
                    <w:rPr>
                      <w:b/>
                      <w:bCs/>
                      <w:sz w:val="20"/>
                    </w:rPr>
                  </w:pPr>
                  <w:r>
                    <w:rPr>
                      <w:b/>
                      <w:bCs/>
                      <w:sz w:val="20"/>
                    </w:rPr>
                    <w:t>φ315</w:t>
                  </w:r>
                </w:p>
              </w:tc>
              <w:tc>
                <w:tcPr>
                  <w:tcW w:w="475" w:type="dxa"/>
                  <w:tcMar>
                    <w:top w:w="15" w:type="dxa"/>
                    <w:left w:w="15" w:type="dxa"/>
                    <w:right w:w="15" w:type="dxa"/>
                  </w:tcMar>
                  <w:vAlign w:val="center"/>
                </w:tcPr>
                <w:p>
                  <w:pPr>
                    <w:tabs>
                      <w:tab w:val="left" w:pos="417"/>
                      <w:tab w:val="left" w:pos="3615"/>
                    </w:tabs>
                    <w:jc w:val="center"/>
                    <w:rPr>
                      <w:b/>
                      <w:bCs/>
                      <w:sz w:val="20"/>
                    </w:rPr>
                  </w:pPr>
                  <w:r>
                    <w:rPr>
                      <w:b/>
                      <w:bCs/>
                      <w:sz w:val="20"/>
                    </w:rPr>
                    <w:t>φ700</w:t>
                  </w:r>
                </w:p>
              </w:tc>
              <w:tc>
                <w:tcPr>
                  <w:tcW w:w="575" w:type="dxa"/>
                  <w:tcMar>
                    <w:top w:w="15" w:type="dxa"/>
                    <w:left w:w="15" w:type="dxa"/>
                    <w:right w:w="15" w:type="dxa"/>
                  </w:tcMar>
                  <w:vAlign w:val="center"/>
                </w:tcPr>
                <w:p>
                  <w:pPr>
                    <w:tabs>
                      <w:tab w:val="left" w:pos="417"/>
                      <w:tab w:val="left" w:pos="3615"/>
                    </w:tabs>
                    <w:jc w:val="center"/>
                    <w:rPr>
                      <w:b/>
                      <w:bCs/>
                      <w:sz w:val="20"/>
                    </w:rPr>
                  </w:pPr>
                  <w:r>
                    <w:rPr>
                      <w:b/>
                      <w:bCs/>
                      <w:sz w:val="20"/>
                    </w:rPr>
                    <w:t>φ1000</w:t>
                  </w:r>
                </w:p>
              </w:tc>
              <w:tc>
                <w:tcPr>
                  <w:tcW w:w="492" w:type="dxa"/>
                  <w:vMerge w:val="continue"/>
                  <w:tcMar>
                    <w:top w:w="15" w:type="dxa"/>
                    <w:left w:w="15" w:type="dxa"/>
                    <w:right w:w="15" w:type="dxa"/>
                  </w:tcMar>
                  <w:vAlign w:val="center"/>
                </w:tcPr>
                <w:p>
                  <w:pPr>
                    <w:tabs>
                      <w:tab w:val="left" w:pos="417"/>
                      <w:tab w:val="left" w:pos="3615"/>
                    </w:tabs>
                    <w:jc w:val="center"/>
                    <w:rPr>
                      <w:b/>
                      <w:bCs/>
                      <w:sz w:val="20"/>
                    </w:rPr>
                  </w:pPr>
                </w:p>
              </w:tc>
              <w:tc>
                <w:tcPr>
                  <w:tcW w:w="474" w:type="dxa"/>
                  <w:vMerge w:val="continue"/>
                  <w:tcMar>
                    <w:top w:w="15" w:type="dxa"/>
                    <w:left w:w="15" w:type="dxa"/>
                    <w:right w:w="15" w:type="dxa"/>
                  </w:tcMar>
                  <w:vAlign w:val="center"/>
                </w:tcPr>
                <w:p>
                  <w:pPr>
                    <w:tabs>
                      <w:tab w:val="left" w:pos="417"/>
                      <w:tab w:val="left" w:pos="3615"/>
                    </w:tabs>
                    <w:jc w:val="center"/>
                    <w:rPr>
                      <w:b/>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茈碧湖镇</w:t>
                  </w:r>
                </w:p>
              </w:tc>
              <w:tc>
                <w:tcPr>
                  <w:tcW w:w="329" w:type="dxa"/>
                  <w:tcMar>
                    <w:top w:w="15" w:type="dxa"/>
                    <w:left w:w="15" w:type="dxa"/>
                    <w:right w:w="15" w:type="dxa"/>
                  </w:tcMar>
                  <w:vAlign w:val="center"/>
                </w:tcPr>
                <w:p>
                  <w:pPr>
                    <w:tabs>
                      <w:tab w:val="left" w:pos="417"/>
                      <w:tab w:val="left" w:pos="3615"/>
                    </w:tabs>
                    <w:jc w:val="center"/>
                    <w:rPr>
                      <w:sz w:val="20"/>
                    </w:rPr>
                  </w:pPr>
                  <w:r>
                    <w:rPr>
                      <w:sz w:val="20"/>
                    </w:rPr>
                    <w:t>丰源</w:t>
                  </w:r>
                </w:p>
              </w:tc>
              <w:tc>
                <w:tcPr>
                  <w:tcW w:w="662" w:type="dxa"/>
                  <w:tcMar>
                    <w:top w:w="15" w:type="dxa"/>
                    <w:left w:w="15" w:type="dxa"/>
                    <w:right w:w="15" w:type="dxa"/>
                  </w:tcMar>
                  <w:vAlign w:val="center"/>
                </w:tcPr>
                <w:p>
                  <w:pPr>
                    <w:tabs>
                      <w:tab w:val="left" w:pos="417"/>
                      <w:tab w:val="left" w:pos="3615"/>
                    </w:tabs>
                    <w:jc w:val="center"/>
                    <w:rPr>
                      <w:sz w:val="20"/>
                    </w:rPr>
                  </w:pPr>
                  <w:r>
                    <w:rPr>
                      <w:sz w:val="20"/>
                    </w:rPr>
                    <w:t>小南山村</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110</w:t>
                  </w:r>
                </w:p>
              </w:tc>
              <w:tc>
                <w:tcPr>
                  <w:tcW w:w="413" w:type="dxa"/>
                  <w:tcMar>
                    <w:top w:w="15" w:type="dxa"/>
                    <w:left w:w="15" w:type="dxa"/>
                    <w:right w:w="15" w:type="dxa"/>
                  </w:tcMar>
                  <w:vAlign w:val="center"/>
                </w:tcPr>
                <w:p>
                  <w:pPr>
                    <w:tabs>
                      <w:tab w:val="left" w:pos="417"/>
                      <w:tab w:val="left" w:pos="3615"/>
                    </w:tabs>
                    <w:jc w:val="center"/>
                    <w:rPr>
                      <w:sz w:val="20"/>
                    </w:rPr>
                  </w:pPr>
                  <w:r>
                    <w:rPr>
                      <w:sz w:val="20"/>
                    </w:rPr>
                    <w:t>110</w:t>
                  </w:r>
                </w:p>
              </w:tc>
              <w:tc>
                <w:tcPr>
                  <w:tcW w:w="450" w:type="dxa"/>
                  <w:tcMar>
                    <w:top w:w="15" w:type="dxa"/>
                    <w:left w:w="15" w:type="dxa"/>
                    <w:right w:w="15" w:type="dxa"/>
                  </w:tcMar>
                  <w:vAlign w:val="center"/>
                </w:tcPr>
                <w:p>
                  <w:pPr>
                    <w:tabs>
                      <w:tab w:val="left" w:pos="417"/>
                      <w:tab w:val="left" w:pos="3615"/>
                    </w:tabs>
                    <w:jc w:val="center"/>
                    <w:rPr>
                      <w:sz w:val="20"/>
                    </w:rPr>
                  </w:pPr>
                  <w:r>
                    <w:rPr>
                      <w:sz w:val="20"/>
                    </w:rPr>
                    <w:t>265</w:t>
                  </w:r>
                </w:p>
              </w:tc>
              <w:tc>
                <w:tcPr>
                  <w:tcW w:w="387" w:type="dxa"/>
                  <w:tcMar>
                    <w:top w:w="15" w:type="dxa"/>
                    <w:left w:w="15" w:type="dxa"/>
                    <w:right w:w="15" w:type="dxa"/>
                  </w:tcMar>
                  <w:vAlign w:val="center"/>
                </w:tcPr>
                <w:p>
                  <w:pPr>
                    <w:tabs>
                      <w:tab w:val="left" w:pos="417"/>
                      <w:tab w:val="left" w:pos="3615"/>
                    </w:tabs>
                    <w:jc w:val="center"/>
                    <w:rPr>
                      <w:sz w:val="20"/>
                    </w:rPr>
                  </w:pPr>
                  <w:r>
                    <w:rPr>
                      <w:sz w:val="20"/>
                    </w:rPr>
                    <w:t>88</w:t>
                  </w:r>
                </w:p>
              </w:tc>
              <w:tc>
                <w:tcPr>
                  <w:tcW w:w="538" w:type="dxa"/>
                  <w:tcMar>
                    <w:top w:w="15" w:type="dxa"/>
                    <w:left w:w="15" w:type="dxa"/>
                    <w:right w:w="15" w:type="dxa"/>
                  </w:tcMar>
                  <w:vAlign w:val="center"/>
                </w:tcPr>
                <w:p>
                  <w:pPr>
                    <w:tabs>
                      <w:tab w:val="left" w:pos="417"/>
                      <w:tab w:val="left" w:pos="3615"/>
                    </w:tabs>
                    <w:jc w:val="center"/>
                    <w:rPr>
                      <w:sz w:val="20"/>
                    </w:rPr>
                  </w:pPr>
                  <w:r>
                    <w:rPr>
                      <w:sz w:val="20"/>
                    </w:rPr>
                    <w:t>662</w:t>
                  </w:r>
                </w:p>
              </w:tc>
              <w:tc>
                <w:tcPr>
                  <w:tcW w:w="475" w:type="dxa"/>
                  <w:tcMar>
                    <w:top w:w="15" w:type="dxa"/>
                    <w:left w:w="15" w:type="dxa"/>
                    <w:right w:w="15" w:type="dxa"/>
                  </w:tcMar>
                  <w:vAlign w:val="center"/>
                </w:tcPr>
                <w:p>
                  <w:pPr>
                    <w:tabs>
                      <w:tab w:val="left" w:pos="417"/>
                      <w:tab w:val="left" w:pos="3615"/>
                    </w:tabs>
                    <w:jc w:val="center"/>
                    <w:rPr>
                      <w:sz w:val="20"/>
                    </w:rPr>
                  </w:pPr>
                  <w:r>
                    <w:rPr>
                      <w:sz w:val="20"/>
                    </w:rPr>
                    <w:t>221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9</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10</w:t>
                  </w:r>
                </w:p>
              </w:tc>
              <w:tc>
                <w:tcPr>
                  <w:tcW w:w="475" w:type="dxa"/>
                  <w:tcMar>
                    <w:top w:w="15" w:type="dxa"/>
                    <w:left w:w="15" w:type="dxa"/>
                    <w:right w:w="15" w:type="dxa"/>
                  </w:tcMar>
                  <w:vAlign w:val="center"/>
                </w:tcPr>
                <w:p>
                  <w:pPr>
                    <w:tabs>
                      <w:tab w:val="left" w:pos="417"/>
                      <w:tab w:val="left" w:pos="3615"/>
                    </w:tabs>
                    <w:jc w:val="center"/>
                    <w:rPr>
                      <w:sz w:val="20"/>
                    </w:rPr>
                  </w:pPr>
                  <w:r>
                    <w:rPr>
                      <w:sz w:val="20"/>
                    </w:rPr>
                    <w:t>41</w:t>
                  </w:r>
                </w:p>
              </w:tc>
              <w:tc>
                <w:tcPr>
                  <w:tcW w:w="575" w:type="dxa"/>
                  <w:tcMar>
                    <w:top w:w="15" w:type="dxa"/>
                    <w:left w:w="15" w:type="dxa"/>
                    <w:right w:w="15" w:type="dxa"/>
                  </w:tcMar>
                  <w:vAlign w:val="center"/>
                </w:tcPr>
                <w:p>
                  <w:pPr>
                    <w:tabs>
                      <w:tab w:val="left" w:pos="417"/>
                      <w:tab w:val="left" w:pos="3615"/>
                    </w:tabs>
                    <w:jc w:val="center"/>
                    <w:rPr>
                      <w:sz w:val="20"/>
                    </w:rPr>
                  </w:pPr>
                  <w:r>
                    <w:rPr>
                      <w:sz w:val="20"/>
                    </w:rPr>
                    <w:t>18</w:t>
                  </w:r>
                </w:p>
              </w:tc>
              <w:tc>
                <w:tcPr>
                  <w:tcW w:w="492" w:type="dxa"/>
                  <w:tcMar>
                    <w:top w:w="15" w:type="dxa"/>
                    <w:left w:w="15" w:type="dxa"/>
                    <w:right w:w="15" w:type="dxa"/>
                  </w:tcMar>
                  <w:vAlign w:val="center"/>
                </w:tcPr>
                <w:p>
                  <w:pPr>
                    <w:tabs>
                      <w:tab w:val="left" w:pos="417"/>
                      <w:tab w:val="left" w:pos="3615"/>
                    </w:tabs>
                    <w:jc w:val="center"/>
                    <w:rPr>
                      <w:sz w:val="20"/>
                    </w:rPr>
                  </w:pPr>
                  <w:r>
                    <w:rPr>
                      <w:sz w:val="20"/>
                    </w:rPr>
                    <w:t>2041</w:t>
                  </w:r>
                </w:p>
              </w:tc>
              <w:tc>
                <w:tcPr>
                  <w:tcW w:w="474" w:type="dxa"/>
                  <w:tcMar>
                    <w:top w:w="15" w:type="dxa"/>
                    <w:left w:w="15" w:type="dxa"/>
                    <w:right w:w="15" w:type="dxa"/>
                  </w:tcMar>
                  <w:vAlign w:val="center"/>
                </w:tcPr>
                <w:p>
                  <w:pPr>
                    <w:tabs>
                      <w:tab w:val="left" w:pos="417"/>
                      <w:tab w:val="left" w:pos="3615"/>
                    </w:tabs>
                    <w:jc w:val="center"/>
                    <w:rPr>
                      <w:sz w:val="20"/>
                    </w:rPr>
                  </w:pPr>
                  <w:r>
                    <w:rPr>
                      <w:sz w:val="20"/>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中炼</w:t>
                  </w:r>
                </w:p>
              </w:tc>
              <w:tc>
                <w:tcPr>
                  <w:tcW w:w="662" w:type="dxa"/>
                  <w:tcMar>
                    <w:top w:w="15" w:type="dxa"/>
                    <w:left w:w="15" w:type="dxa"/>
                    <w:right w:w="15" w:type="dxa"/>
                  </w:tcMar>
                  <w:vAlign w:val="center"/>
                </w:tcPr>
                <w:p>
                  <w:pPr>
                    <w:tabs>
                      <w:tab w:val="left" w:pos="417"/>
                      <w:tab w:val="left" w:pos="3615"/>
                    </w:tabs>
                    <w:jc w:val="center"/>
                    <w:rPr>
                      <w:sz w:val="20"/>
                    </w:rPr>
                  </w:pPr>
                  <w:r>
                    <w:rPr>
                      <w:sz w:val="20"/>
                    </w:rPr>
                    <w:t>上中村</w:t>
                  </w:r>
                </w:p>
              </w:tc>
              <w:tc>
                <w:tcPr>
                  <w:tcW w:w="425" w:type="dxa"/>
                  <w:tcMar>
                    <w:top w:w="15" w:type="dxa"/>
                    <w:left w:w="15" w:type="dxa"/>
                    <w:right w:w="15" w:type="dxa"/>
                  </w:tcMar>
                  <w:vAlign w:val="center"/>
                </w:tcPr>
                <w:p>
                  <w:pPr>
                    <w:tabs>
                      <w:tab w:val="left" w:pos="417"/>
                      <w:tab w:val="left" w:pos="3615"/>
                    </w:tabs>
                    <w:jc w:val="center"/>
                    <w:rPr>
                      <w:sz w:val="20"/>
                    </w:rPr>
                  </w:pPr>
                  <w:r>
                    <w:rPr>
                      <w:sz w:val="20"/>
                    </w:rPr>
                    <w:t>123</w:t>
                  </w:r>
                </w:p>
              </w:tc>
              <w:tc>
                <w:tcPr>
                  <w:tcW w:w="425" w:type="dxa"/>
                  <w:tcMar>
                    <w:top w:w="15" w:type="dxa"/>
                    <w:left w:w="15" w:type="dxa"/>
                    <w:right w:w="15" w:type="dxa"/>
                  </w:tcMar>
                  <w:vAlign w:val="center"/>
                </w:tcPr>
                <w:p>
                  <w:pPr>
                    <w:tabs>
                      <w:tab w:val="left" w:pos="417"/>
                      <w:tab w:val="left" w:pos="3615"/>
                    </w:tabs>
                    <w:jc w:val="center"/>
                    <w:rPr>
                      <w:sz w:val="20"/>
                    </w:rPr>
                  </w:pPr>
                  <w:r>
                    <w:rPr>
                      <w:sz w:val="20"/>
                    </w:rPr>
                    <w:t>123</w:t>
                  </w:r>
                </w:p>
              </w:tc>
              <w:tc>
                <w:tcPr>
                  <w:tcW w:w="425" w:type="dxa"/>
                  <w:tcMar>
                    <w:top w:w="15" w:type="dxa"/>
                    <w:left w:w="15" w:type="dxa"/>
                    <w:right w:w="15" w:type="dxa"/>
                  </w:tcMar>
                  <w:vAlign w:val="center"/>
                </w:tcPr>
                <w:p>
                  <w:pPr>
                    <w:tabs>
                      <w:tab w:val="left" w:pos="417"/>
                      <w:tab w:val="left" w:pos="3615"/>
                    </w:tabs>
                    <w:jc w:val="center"/>
                    <w:rPr>
                      <w:sz w:val="20"/>
                    </w:rPr>
                  </w:pPr>
                  <w:r>
                    <w:rPr>
                      <w:sz w:val="20"/>
                    </w:rPr>
                    <w:t>307</w:t>
                  </w:r>
                </w:p>
              </w:tc>
              <w:tc>
                <w:tcPr>
                  <w:tcW w:w="413" w:type="dxa"/>
                  <w:tcMar>
                    <w:top w:w="15" w:type="dxa"/>
                    <w:left w:w="15" w:type="dxa"/>
                    <w:right w:w="15" w:type="dxa"/>
                  </w:tcMar>
                  <w:vAlign w:val="center"/>
                </w:tcPr>
                <w:p>
                  <w:pPr>
                    <w:tabs>
                      <w:tab w:val="left" w:pos="417"/>
                      <w:tab w:val="left" w:pos="3615"/>
                    </w:tabs>
                    <w:jc w:val="center"/>
                    <w:rPr>
                      <w:sz w:val="20"/>
                    </w:rPr>
                  </w:pPr>
                  <w:r>
                    <w:rPr>
                      <w:sz w:val="20"/>
                    </w:rPr>
                    <w:t>307</w:t>
                  </w:r>
                </w:p>
              </w:tc>
              <w:tc>
                <w:tcPr>
                  <w:tcW w:w="450" w:type="dxa"/>
                  <w:tcMar>
                    <w:top w:w="15" w:type="dxa"/>
                    <w:left w:w="15" w:type="dxa"/>
                    <w:right w:w="15" w:type="dxa"/>
                  </w:tcMar>
                  <w:vAlign w:val="center"/>
                </w:tcPr>
                <w:p>
                  <w:pPr>
                    <w:tabs>
                      <w:tab w:val="left" w:pos="417"/>
                      <w:tab w:val="left" w:pos="3615"/>
                    </w:tabs>
                    <w:jc w:val="center"/>
                    <w:rPr>
                      <w:sz w:val="20"/>
                    </w:rPr>
                  </w:pPr>
                  <w:r>
                    <w:rPr>
                      <w:sz w:val="20"/>
                    </w:rPr>
                    <w:t>738</w:t>
                  </w:r>
                </w:p>
              </w:tc>
              <w:tc>
                <w:tcPr>
                  <w:tcW w:w="387" w:type="dxa"/>
                  <w:tcMar>
                    <w:top w:w="15" w:type="dxa"/>
                    <w:left w:w="15" w:type="dxa"/>
                    <w:right w:w="15" w:type="dxa"/>
                  </w:tcMar>
                  <w:vAlign w:val="center"/>
                </w:tcPr>
                <w:p>
                  <w:pPr>
                    <w:tabs>
                      <w:tab w:val="left" w:pos="417"/>
                      <w:tab w:val="left" w:pos="3615"/>
                    </w:tabs>
                    <w:jc w:val="center"/>
                    <w:rPr>
                      <w:sz w:val="20"/>
                    </w:rPr>
                  </w:pPr>
                  <w:r>
                    <w:rPr>
                      <w:sz w:val="20"/>
                    </w:rPr>
                    <w:t>246</w:t>
                  </w:r>
                </w:p>
              </w:tc>
              <w:tc>
                <w:tcPr>
                  <w:tcW w:w="538" w:type="dxa"/>
                  <w:tcMar>
                    <w:top w:w="15" w:type="dxa"/>
                    <w:left w:w="15" w:type="dxa"/>
                    <w:right w:w="15" w:type="dxa"/>
                  </w:tcMar>
                  <w:vAlign w:val="center"/>
                </w:tcPr>
                <w:p>
                  <w:pPr>
                    <w:tabs>
                      <w:tab w:val="left" w:pos="417"/>
                      <w:tab w:val="left" w:pos="3615"/>
                    </w:tabs>
                    <w:jc w:val="center"/>
                    <w:rPr>
                      <w:sz w:val="20"/>
                    </w:rPr>
                  </w:pPr>
                  <w:r>
                    <w:rPr>
                      <w:sz w:val="20"/>
                    </w:rPr>
                    <w:t>1844</w:t>
                  </w:r>
                </w:p>
              </w:tc>
              <w:tc>
                <w:tcPr>
                  <w:tcW w:w="475" w:type="dxa"/>
                  <w:tcMar>
                    <w:top w:w="15" w:type="dxa"/>
                    <w:left w:w="15" w:type="dxa"/>
                    <w:right w:w="15" w:type="dxa"/>
                  </w:tcMar>
                  <w:vAlign w:val="center"/>
                </w:tcPr>
                <w:p>
                  <w:pPr>
                    <w:tabs>
                      <w:tab w:val="left" w:pos="417"/>
                      <w:tab w:val="left" w:pos="3615"/>
                    </w:tabs>
                    <w:jc w:val="center"/>
                    <w:rPr>
                      <w:sz w:val="20"/>
                    </w:rPr>
                  </w:pPr>
                  <w:r>
                    <w:rPr>
                      <w:sz w:val="20"/>
                    </w:rPr>
                    <w:t>615</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25</w:t>
                  </w:r>
                </w:p>
              </w:tc>
              <w:tc>
                <w:tcPr>
                  <w:tcW w:w="425" w:type="dxa"/>
                  <w:tcMar>
                    <w:top w:w="15" w:type="dxa"/>
                    <w:left w:w="15" w:type="dxa"/>
                    <w:right w:w="15" w:type="dxa"/>
                  </w:tcMar>
                  <w:vAlign w:val="center"/>
                </w:tcPr>
                <w:p>
                  <w:pPr>
                    <w:tabs>
                      <w:tab w:val="left" w:pos="417"/>
                      <w:tab w:val="left" w:pos="3615"/>
                    </w:tabs>
                    <w:jc w:val="center"/>
                    <w:rPr>
                      <w:sz w:val="20"/>
                    </w:rPr>
                  </w:pPr>
                  <w:r>
                    <w:rPr>
                      <w:sz w:val="20"/>
                    </w:rPr>
                    <w:t>8</w:t>
                  </w:r>
                </w:p>
              </w:tc>
              <w:tc>
                <w:tcPr>
                  <w:tcW w:w="463" w:type="dxa"/>
                  <w:tcMar>
                    <w:top w:w="15" w:type="dxa"/>
                    <w:left w:w="15" w:type="dxa"/>
                    <w:right w:w="15" w:type="dxa"/>
                  </w:tcMar>
                  <w:vAlign w:val="center"/>
                </w:tcPr>
                <w:p>
                  <w:pPr>
                    <w:tabs>
                      <w:tab w:val="left" w:pos="417"/>
                      <w:tab w:val="left" w:pos="3615"/>
                    </w:tabs>
                    <w:jc w:val="center"/>
                    <w:rPr>
                      <w:sz w:val="20"/>
                    </w:rPr>
                  </w:pPr>
                  <w:r>
                    <w:rPr>
                      <w:sz w:val="20"/>
                    </w:rPr>
                    <w:t>28</w:t>
                  </w:r>
                </w:p>
              </w:tc>
              <w:tc>
                <w:tcPr>
                  <w:tcW w:w="475" w:type="dxa"/>
                  <w:tcMar>
                    <w:top w:w="15" w:type="dxa"/>
                    <w:left w:w="15" w:type="dxa"/>
                    <w:right w:w="15" w:type="dxa"/>
                  </w:tcMar>
                  <w:vAlign w:val="center"/>
                </w:tcPr>
                <w:p>
                  <w:pPr>
                    <w:tabs>
                      <w:tab w:val="left" w:pos="417"/>
                      <w:tab w:val="left" w:pos="3615"/>
                    </w:tabs>
                    <w:jc w:val="center"/>
                    <w:rPr>
                      <w:sz w:val="20"/>
                    </w:rPr>
                  </w:pPr>
                  <w:r>
                    <w:rPr>
                      <w:sz w:val="20"/>
                    </w:rPr>
                    <w:t>114</w:t>
                  </w:r>
                </w:p>
              </w:tc>
              <w:tc>
                <w:tcPr>
                  <w:tcW w:w="575" w:type="dxa"/>
                  <w:tcMar>
                    <w:top w:w="15" w:type="dxa"/>
                    <w:left w:w="15" w:type="dxa"/>
                    <w:right w:w="15" w:type="dxa"/>
                  </w:tcMar>
                  <w:vAlign w:val="center"/>
                </w:tcPr>
                <w:p>
                  <w:pPr>
                    <w:tabs>
                      <w:tab w:val="left" w:pos="417"/>
                      <w:tab w:val="left" w:pos="3615"/>
                    </w:tabs>
                    <w:jc w:val="center"/>
                    <w:rPr>
                      <w:sz w:val="20"/>
                    </w:rPr>
                  </w:pPr>
                  <w:r>
                    <w:rPr>
                      <w:sz w:val="20"/>
                    </w:rPr>
                    <w:t>50</w:t>
                  </w:r>
                </w:p>
              </w:tc>
              <w:tc>
                <w:tcPr>
                  <w:tcW w:w="492" w:type="dxa"/>
                  <w:tcMar>
                    <w:top w:w="15" w:type="dxa"/>
                    <w:left w:w="15" w:type="dxa"/>
                    <w:right w:w="15" w:type="dxa"/>
                  </w:tcMar>
                  <w:vAlign w:val="center"/>
                </w:tcPr>
                <w:p>
                  <w:pPr>
                    <w:tabs>
                      <w:tab w:val="left" w:pos="417"/>
                      <w:tab w:val="left" w:pos="3615"/>
                    </w:tabs>
                    <w:jc w:val="center"/>
                    <w:rPr>
                      <w:sz w:val="20"/>
                    </w:rPr>
                  </w:pPr>
                  <w:r>
                    <w:rPr>
                      <w:sz w:val="20"/>
                    </w:rPr>
                    <w:t>5685</w:t>
                  </w:r>
                </w:p>
              </w:tc>
              <w:tc>
                <w:tcPr>
                  <w:tcW w:w="474" w:type="dxa"/>
                  <w:tcMar>
                    <w:top w:w="15" w:type="dxa"/>
                    <w:left w:w="15" w:type="dxa"/>
                    <w:right w:w="15" w:type="dxa"/>
                  </w:tcMar>
                  <w:vAlign w:val="center"/>
                </w:tcPr>
                <w:p>
                  <w:pPr>
                    <w:tabs>
                      <w:tab w:val="left" w:pos="417"/>
                      <w:tab w:val="left" w:pos="3615"/>
                    </w:tabs>
                    <w:jc w:val="center"/>
                    <w:rPr>
                      <w:sz w:val="20"/>
                    </w:rPr>
                  </w:pPr>
                  <w:r>
                    <w:rPr>
                      <w:sz w:val="20"/>
                    </w:rPr>
                    <w:t>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巡检</w:t>
                  </w:r>
                </w:p>
              </w:tc>
              <w:tc>
                <w:tcPr>
                  <w:tcW w:w="662" w:type="dxa"/>
                  <w:tcMar>
                    <w:top w:w="15" w:type="dxa"/>
                    <w:left w:w="15" w:type="dxa"/>
                    <w:right w:w="15" w:type="dxa"/>
                  </w:tcMar>
                  <w:vAlign w:val="center"/>
                </w:tcPr>
                <w:p>
                  <w:pPr>
                    <w:tabs>
                      <w:tab w:val="left" w:pos="417"/>
                      <w:tab w:val="left" w:pos="3615"/>
                    </w:tabs>
                    <w:jc w:val="center"/>
                    <w:rPr>
                      <w:sz w:val="20"/>
                    </w:rPr>
                  </w:pPr>
                  <w:r>
                    <w:rPr>
                      <w:sz w:val="20"/>
                    </w:rPr>
                    <w:t>巡检村</w:t>
                  </w:r>
                </w:p>
              </w:tc>
              <w:tc>
                <w:tcPr>
                  <w:tcW w:w="425" w:type="dxa"/>
                  <w:tcMar>
                    <w:top w:w="15" w:type="dxa"/>
                    <w:left w:w="15" w:type="dxa"/>
                    <w:right w:w="15" w:type="dxa"/>
                  </w:tcMar>
                  <w:vAlign w:val="center"/>
                </w:tcPr>
                <w:p>
                  <w:pPr>
                    <w:tabs>
                      <w:tab w:val="left" w:pos="417"/>
                      <w:tab w:val="left" w:pos="3615"/>
                    </w:tabs>
                    <w:jc w:val="center"/>
                    <w:rPr>
                      <w:sz w:val="20"/>
                    </w:rPr>
                  </w:pPr>
                  <w:r>
                    <w:rPr>
                      <w:sz w:val="20"/>
                    </w:rPr>
                    <w:t>162</w:t>
                  </w:r>
                </w:p>
              </w:tc>
              <w:tc>
                <w:tcPr>
                  <w:tcW w:w="425" w:type="dxa"/>
                  <w:tcMar>
                    <w:top w:w="15" w:type="dxa"/>
                    <w:left w:w="15" w:type="dxa"/>
                    <w:right w:w="15" w:type="dxa"/>
                  </w:tcMar>
                  <w:vAlign w:val="center"/>
                </w:tcPr>
                <w:p>
                  <w:pPr>
                    <w:tabs>
                      <w:tab w:val="left" w:pos="417"/>
                      <w:tab w:val="left" w:pos="3615"/>
                    </w:tabs>
                    <w:jc w:val="center"/>
                    <w:rPr>
                      <w:sz w:val="20"/>
                    </w:rPr>
                  </w:pPr>
                  <w:r>
                    <w:rPr>
                      <w:sz w:val="20"/>
                    </w:rPr>
                    <w:t>162</w:t>
                  </w:r>
                </w:p>
              </w:tc>
              <w:tc>
                <w:tcPr>
                  <w:tcW w:w="425" w:type="dxa"/>
                  <w:tcMar>
                    <w:top w:w="15" w:type="dxa"/>
                    <w:left w:w="15" w:type="dxa"/>
                    <w:right w:w="15" w:type="dxa"/>
                  </w:tcMar>
                  <w:vAlign w:val="center"/>
                </w:tcPr>
                <w:p>
                  <w:pPr>
                    <w:tabs>
                      <w:tab w:val="left" w:pos="417"/>
                      <w:tab w:val="left" w:pos="3615"/>
                    </w:tabs>
                    <w:jc w:val="center"/>
                    <w:rPr>
                      <w:sz w:val="20"/>
                    </w:rPr>
                  </w:pPr>
                  <w:r>
                    <w:rPr>
                      <w:sz w:val="20"/>
                    </w:rPr>
                    <w:t>405</w:t>
                  </w:r>
                </w:p>
              </w:tc>
              <w:tc>
                <w:tcPr>
                  <w:tcW w:w="413" w:type="dxa"/>
                  <w:tcMar>
                    <w:top w:w="15" w:type="dxa"/>
                    <w:left w:w="15" w:type="dxa"/>
                    <w:right w:w="15" w:type="dxa"/>
                  </w:tcMar>
                  <w:vAlign w:val="center"/>
                </w:tcPr>
                <w:p>
                  <w:pPr>
                    <w:tabs>
                      <w:tab w:val="left" w:pos="417"/>
                      <w:tab w:val="left" w:pos="3615"/>
                    </w:tabs>
                    <w:jc w:val="center"/>
                    <w:rPr>
                      <w:sz w:val="20"/>
                    </w:rPr>
                  </w:pPr>
                  <w:r>
                    <w:rPr>
                      <w:sz w:val="20"/>
                    </w:rPr>
                    <w:t>405</w:t>
                  </w:r>
                </w:p>
              </w:tc>
              <w:tc>
                <w:tcPr>
                  <w:tcW w:w="450" w:type="dxa"/>
                  <w:tcMar>
                    <w:top w:w="15" w:type="dxa"/>
                    <w:left w:w="15" w:type="dxa"/>
                    <w:right w:w="15" w:type="dxa"/>
                  </w:tcMar>
                  <w:vAlign w:val="center"/>
                </w:tcPr>
                <w:p>
                  <w:pPr>
                    <w:tabs>
                      <w:tab w:val="left" w:pos="417"/>
                      <w:tab w:val="left" w:pos="3615"/>
                    </w:tabs>
                    <w:jc w:val="center"/>
                    <w:rPr>
                      <w:sz w:val="20"/>
                    </w:rPr>
                  </w:pPr>
                  <w:r>
                    <w:rPr>
                      <w:sz w:val="20"/>
                    </w:rPr>
                    <w:t>972</w:t>
                  </w:r>
                </w:p>
              </w:tc>
              <w:tc>
                <w:tcPr>
                  <w:tcW w:w="387" w:type="dxa"/>
                  <w:tcMar>
                    <w:top w:w="15" w:type="dxa"/>
                    <w:left w:w="15" w:type="dxa"/>
                    <w:right w:w="15" w:type="dxa"/>
                  </w:tcMar>
                  <w:vAlign w:val="center"/>
                </w:tcPr>
                <w:p>
                  <w:pPr>
                    <w:tabs>
                      <w:tab w:val="left" w:pos="417"/>
                      <w:tab w:val="left" w:pos="3615"/>
                    </w:tabs>
                    <w:jc w:val="center"/>
                    <w:rPr>
                      <w:sz w:val="20"/>
                    </w:rPr>
                  </w:pPr>
                  <w:r>
                    <w:rPr>
                      <w:sz w:val="20"/>
                    </w:rPr>
                    <w:t>324</w:t>
                  </w:r>
                </w:p>
              </w:tc>
              <w:tc>
                <w:tcPr>
                  <w:tcW w:w="538" w:type="dxa"/>
                  <w:tcMar>
                    <w:top w:w="15" w:type="dxa"/>
                    <w:left w:w="15" w:type="dxa"/>
                    <w:right w:w="15" w:type="dxa"/>
                  </w:tcMar>
                  <w:vAlign w:val="center"/>
                </w:tcPr>
                <w:p>
                  <w:pPr>
                    <w:tabs>
                      <w:tab w:val="left" w:pos="417"/>
                      <w:tab w:val="left" w:pos="3615"/>
                    </w:tabs>
                    <w:jc w:val="center"/>
                    <w:rPr>
                      <w:sz w:val="20"/>
                    </w:rPr>
                  </w:pPr>
                  <w:r>
                    <w:rPr>
                      <w:sz w:val="20"/>
                    </w:rPr>
                    <w:t>2430</w:t>
                  </w:r>
                </w:p>
              </w:tc>
              <w:tc>
                <w:tcPr>
                  <w:tcW w:w="475" w:type="dxa"/>
                  <w:tcMar>
                    <w:top w:w="15" w:type="dxa"/>
                    <w:left w:w="15" w:type="dxa"/>
                    <w:right w:w="15" w:type="dxa"/>
                  </w:tcMar>
                  <w:vAlign w:val="center"/>
                </w:tcPr>
                <w:p>
                  <w:pPr>
                    <w:tabs>
                      <w:tab w:val="left" w:pos="417"/>
                      <w:tab w:val="left" w:pos="3615"/>
                    </w:tabs>
                    <w:jc w:val="center"/>
                    <w:rPr>
                      <w:sz w:val="20"/>
                    </w:rPr>
                  </w:pPr>
                  <w:r>
                    <w:rPr>
                      <w:sz w:val="20"/>
                    </w:rPr>
                    <w:t>810</w:t>
                  </w:r>
                </w:p>
              </w:tc>
              <w:tc>
                <w:tcPr>
                  <w:tcW w:w="437" w:type="dxa"/>
                  <w:tcMar>
                    <w:top w:w="15" w:type="dxa"/>
                    <w:left w:w="15" w:type="dxa"/>
                    <w:right w:w="15" w:type="dxa"/>
                  </w:tcMar>
                  <w:vAlign w:val="center"/>
                </w:tcPr>
                <w:p>
                  <w:pPr>
                    <w:tabs>
                      <w:tab w:val="left" w:pos="417"/>
                      <w:tab w:val="left" w:pos="3615"/>
                    </w:tabs>
                    <w:jc w:val="center"/>
                    <w:rPr>
                      <w:sz w:val="20"/>
                    </w:rPr>
                  </w:pPr>
                  <w:r>
                    <w:rPr>
                      <w:sz w:val="20"/>
                    </w:rPr>
                    <w:t>6</w:t>
                  </w:r>
                </w:p>
              </w:tc>
              <w:tc>
                <w:tcPr>
                  <w:tcW w:w="47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11</w:t>
                  </w:r>
                </w:p>
              </w:tc>
              <w:tc>
                <w:tcPr>
                  <w:tcW w:w="463" w:type="dxa"/>
                  <w:tcMar>
                    <w:top w:w="15" w:type="dxa"/>
                    <w:left w:w="15" w:type="dxa"/>
                    <w:right w:w="15" w:type="dxa"/>
                  </w:tcMar>
                  <w:vAlign w:val="center"/>
                </w:tcPr>
                <w:p>
                  <w:pPr>
                    <w:tabs>
                      <w:tab w:val="left" w:pos="417"/>
                      <w:tab w:val="left" w:pos="3615"/>
                    </w:tabs>
                    <w:jc w:val="center"/>
                    <w:rPr>
                      <w:sz w:val="20"/>
                    </w:rPr>
                  </w:pPr>
                  <w:r>
                    <w:rPr>
                      <w:sz w:val="20"/>
                    </w:rPr>
                    <w:t>37</w:t>
                  </w:r>
                </w:p>
              </w:tc>
              <w:tc>
                <w:tcPr>
                  <w:tcW w:w="475" w:type="dxa"/>
                  <w:tcMar>
                    <w:top w:w="15" w:type="dxa"/>
                    <w:left w:w="15" w:type="dxa"/>
                    <w:right w:w="15" w:type="dxa"/>
                  </w:tcMar>
                  <w:vAlign w:val="center"/>
                </w:tcPr>
                <w:p>
                  <w:pPr>
                    <w:tabs>
                      <w:tab w:val="left" w:pos="417"/>
                      <w:tab w:val="left" w:pos="3615"/>
                    </w:tabs>
                    <w:jc w:val="center"/>
                    <w:rPr>
                      <w:sz w:val="20"/>
                    </w:rPr>
                  </w:pPr>
                  <w:r>
                    <w:rPr>
                      <w:sz w:val="20"/>
                    </w:rPr>
                    <w:t>150</w:t>
                  </w:r>
                </w:p>
              </w:tc>
              <w:tc>
                <w:tcPr>
                  <w:tcW w:w="575" w:type="dxa"/>
                  <w:tcMar>
                    <w:top w:w="15" w:type="dxa"/>
                    <w:left w:w="15" w:type="dxa"/>
                    <w:right w:w="15" w:type="dxa"/>
                  </w:tcMar>
                  <w:vAlign w:val="center"/>
                </w:tcPr>
                <w:p>
                  <w:pPr>
                    <w:tabs>
                      <w:tab w:val="left" w:pos="417"/>
                      <w:tab w:val="left" w:pos="3615"/>
                    </w:tabs>
                    <w:jc w:val="center"/>
                    <w:rPr>
                      <w:sz w:val="20"/>
                    </w:rPr>
                  </w:pPr>
                  <w:r>
                    <w:rPr>
                      <w:sz w:val="20"/>
                    </w:rPr>
                    <w:t>66</w:t>
                  </w:r>
                </w:p>
              </w:tc>
              <w:tc>
                <w:tcPr>
                  <w:tcW w:w="492" w:type="dxa"/>
                  <w:tcMar>
                    <w:top w:w="15" w:type="dxa"/>
                    <w:left w:w="15" w:type="dxa"/>
                    <w:right w:w="15" w:type="dxa"/>
                  </w:tcMar>
                  <w:vAlign w:val="center"/>
                </w:tcPr>
                <w:p>
                  <w:pPr>
                    <w:tabs>
                      <w:tab w:val="left" w:pos="417"/>
                      <w:tab w:val="left" w:pos="3615"/>
                    </w:tabs>
                    <w:jc w:val="center"/>
                    <w:rPr>
                      <w:sz w:val="20"/>
                    </w:rPr>
                  </w:pPr>
                  <w:r>
                    <w:rPr>
                      <w:sz w:val="20"/>
                    </w:rPr>
                    <w:t>7494</w:t>
                  </w:r>
                </w:p>
              </w:tc>
              <w:tc>
                <w:tcPr>
                  <w:tcW w:w="474" w:type="dxa"/>
                  <w:tcMar>
                    <w:top w:w="15" w:type="dxa"/>
                    <w:left w:w="15" w:type="dxa"/>
                    <w:right w:w="15" w:type="dxa"/>
                  </w:tcMar>
                  <w:vAlign w:val="center"/>
                </w:tcPr>
                <w:p>
                  <w:pPr>
                    <w:tabs>
                      <w:tab w:val="left" w:pos="417"/>
                      <w:tab w:val="left" w:pos="3615"/>
                    </w:tabs>
                    <w:jc w:val="center"/>
                    <w:rPr>
                      <w:sz w:val="20"/>
                    </w:rPr>
                  </w:pPr>
                  <w:r>
                    <w:rPr>
                      <w:sz w:val="20"/>
                    </w:rPr>
                    <w:t>3443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鹅墩</w:t>
                  </w:r>
                </w:p>
              </w:tc>
              <w:tc>
                <w:tcPr>
                  <w:tcW w:w="662" w:type="dxa"/>
                  <w:tcMar>
                    <w:top w:w="15" w:type="dxa"/>
                    <w:left w:w="15" w:type="dxa"/>
                    <w:right w:w="15" w:type="dxa"/>
                  </w:tcMar>
                  <w:vAlign w:val="center"/>
                </w:tcPr>
                <w:p>
                  <w:pPr>
                    <w:tabs>
                      <w:tab w:val="left" w:pos="417"/>
                      <w:tab w:val="left" w:pos="3615"/>
                    </w:tabs>
                    <w:jc w:val="center"/>
                    <w:rPr>
                      <w:sz w:val="20"/>
                    </w:rPr>
                  </w:pPr>
                  <w:r>
                    <w:rPr>
                      <w:sz w:val="20"/>
                    </w:rPr>
                    <w:t>干荞村</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111</w:t>
                  </w:r>
                </w:p>
              </w:tc>
              <w:tc>
                <w:tcPr>
                  <w:tcW w:w="413" w:type="dxa"/>
                  <w:tcMar>
                    <w:top w:w="15" w:type="dxa"/>
                    <w:left w:w="15" w:type="dxa"/>
                    <w:right w:w="15" w:type="dxa"/>
                  </w:tcMar>
                  <w:vAlign w:val="center"/>
                </w:tcPr>
                <w:p>
                  <w:pPr>
                    <w:tabs>
                      <w:tab w:val="left" w:pos="417"/>
                      <w:tab w:val="left" w:pos="3615"/>
                    </w:tabs>
                    <w:jc w:val="center"/>
                    <w:rPr>
                      <w:sz w:val="20"/>
                    </w:rPr>
                  </w:pPr>
                  <w:r>
                    <w:rPr>
                      <w:sz w:val="20"/>
                    </w:rPr>
                    <w:t>111</w:t>
                  </w:r>
                </w:p>
              </w:tc>
              <w:tc>
                <w:tcPr>
                  <w:tcW w:w="450" w:type="dxa"/>
                  <w:tcMar>
                    <w:top w:w="15" w:type="dxa"/>
                    <w:left w:w="15" w:type="dxa"/>
                    <w:right w:w="15" w:type="dxa"/>
                  </w:tcMar>
                  <w:vAlign w:val="center"/>
                </w:tcPr>
                <w:p>
                  <w:pPr>
                    <w:tabs>
                      <w:tab w:val="left" w:pos="417"/>
                      <w:tab w:val="left" w:pos="3615"/>
                    </w:tabs>
                    <w:jc w:val="center"/>
                    <w:rPr>
                      <w:sz w:val="20"/>
                    </w:rPr>
                  </w:pPr>
                  <w:r>
                    <w:rPr>
                      <w:sz w:val="20"/>
                    </w:rPr>
                    <w:t>266</w:t>
                  </w:r>
                </w:p>
              </w:tc>
              <w:tc>
                <w:tcPr>
                  <w:tcW w:w="387" w:type="dxa"/>
                  <w:tcMar>
                    <w:top w:w="15" w:type="dxa"/>
                    <w:left w:w="15" w:type="dxa"/>
                    <w:right w:w="15" w:type="dxa"/>
                  </w:tcMar>
                  <w:vAlign w:val="center"/>
                </w:tcPr>
                <w:p>
                  <w:pPr>
                    <w:tabs>
                      <w:tab w:val="left" w:pos="417"/>
                      <w:tab w:val="left" w:pos="3615"/>
                    </w:tabs>
                    <w:jc w:val="center"/>
                    <w:rPr>
                      <w:sz w:val="20"/>
                    </w:rPr>
                  </w:pPr>
                  <w:r>
                    <w:rPr>
                      <w:sz w:val="20"/>
                    </w:rPr>
                    <w:t>89</w:t>
                  </w:r>
                </w:p>
              </w:tc>
              <w:tc>
                <w:tcPr>
                  <w:tcW w:w="538" w:type="dxa"/>
                  <w:tcMar>
                    <w:top w:w="15" w:type="dxa"/>
                    <w:left w:w="15" w:type="dxa"/>
                    <w:right w:w="15" w:type="dxa"/>
                  </w:tcMar>
                  <w:vAlign w:val="center"/>
                </w:tcPr>
                <w:p>
                  <w:pPr>
                    <w:tabs>
                      <w:tab w:val="left" w:pos="417"/>
                      <w:tab w:val="left" w:pos="3615"/>
                    </w:tabs>
                    <w:jc w:val="center"/>
                    <w:rPr>
                      <w:sz w:val="20"/>
                    </w:rPr>
                  </w:pPr>
                  <w:r>
                    <w:rPr>
                      <w:sz w:val="20"/>
                    </w:rPr>
                    <w:t>666</w:t>
                  </w:r>
                </w:p>
              </w:tc>
              <w:tc>
                <w:tcPr>
                  <w:tcW w:w="475" w:type="dxa"/>
                  <w:tcMar>
                    <w:top w:w="15" w:type="dxa"/>
                    <w:left w:w="15" w:type="dxa"/>
                    <w:right w:w="15" w:type="dxa"/>
                  </w:tcMar>
                  <w:vAlign w:val="center"/>
                </w:tcPr>
                <w:p>
                  <w:pPr>
                    <w:tabs>
                      <w:tab w:val="left" w:pos="417"/>
                      <w:tab w:val="left" w:pos="3615"/>
                    </w:tabs>
                    <w:jc w:val="center"/>
                    <w:rPr>
                      <w:sz w:val="20"/>
                    </w:rPr>
                  </w:pPr>
                  <w:r>
                    <w:rPr>
                      <w:sz w:val="20"/>
                    </w:rPr>
                    <w:t>222</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9</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10</w:t>
                  </w:r>
                </w:p>
              </w:tc>
              <w:tc>
                <w:tcPr>
                  <w:tcW w:w="475" w:type="dxa"/>
                  <w:tcMar>
                    <w:top w:w="15" w:type="dxa"/>
                    <w:left w:w="15" w:type="dxa"/>
                    <w:right w:w="15" w:type="dxa"/>
                  </w:tcMar>
                  <w:vAlign w:val="center"/>
                </w:tcPr>
                <w:p>
                  <w:pPr>
                    <w:tabs>
                      <w:tab w:val="left" w:pos="417"/>
                      <w:tab w:val="left" w:pos="3615"/>
                    </w:tabs>
                    <w:jc w:val="center"/>
                    <w:rPr>
                      <w:sz w:val="20"/>
                    </w:rPr>
                  </w:pPr>
                  <w:r>
                    <w:rPr>
                      <w:sz w:val="20"/>
                    </w:rPr>
                    <w:t>41</w:t>
                  </w:r>
                </w:p>
              </w:tc>
              <w:tc>
                <w:tcPr>
                  <w:tcW w:w="575" w:type="dxa"/>
                  <w:tcMar>
                    <w:top w:w="15" w:type="dxa"/>
                    <w:left w:w="15" w:type="dxa"/>
                    <w:right w:w="15" w:type="dxa"/>
                  </w:tcMar>
                  <w:vAlign w:val="center"/>
                </w:tcPr>
                <w:p>
                  <w:pPr>
                    <w:tabs>
                      <w:tab w:val="left" w:pos="417"/>
                      <w:tab w:val="left" w:pos="3615"/>
                    </w:tabs>
                    <w:jc w:val="center"/>
                    <w:rPr>
                      <w:sz w:val="20"/>
                    </w:rPr>
                  </w:pPr>
                  <w:r>
                    <w:rPr>
                      <w:sz w:val="20"/>
                    </w:rPr>
                    <w:t>18</w:t>
                  </w:r>
                </w:p>
              </w:tc>
              <w:tc>
                <w:tcPr>
                  <w:tcW w:w="492" w:type="dxa"/>
                  <w:tcMar>
                    <w:top w:w="15" w:type="dxa"/>
                    <w:left w:w="15" w:type="dxa"/>
                    <w:right w:w="15" w:type="dxa"/>
                  </w:tcMar>
                  <w:vAlign w:val="center"/>
                </w:tcPr>
                <w:p>
                  <w:pPr>
                    <w:tabs>
                      <w:tab w:val="left" w:pos="417"/>
                      <w:tab w:val="left" w:pos="3615"/>
                    </w:tabs>
                    <w:jc w:val="center"/>
                    <w:rPr>
                      <w:sz w:val="20"/>
                    </w:rPr>
                  </w:pPr>
                  <w:r>
                    <w:rPr>
                      <w:sz w:val="20"/>
                    </w:rPr>
                    <w:t>2053</w:t>
                  </w:r>
                </w:p>
              </w:tc>
              <w:tc>
                <w:tcPr>
                  <w:tcW w:w="474" w:type="dxa"/>
                  <w:tcMar>
                    <w:top w:w="15" w:type="dxa"/>
                    <w:left w:w="15" w:type="dxa"/>
                    <w:right w:w="15" w:type="dxa"/>
                  </w:tcMar>
                  <w:vAlign w:val="center"/>
                </w:tcPr>
                <w:p>
                  <w:pPr>
                    <w:tabs>
                      <w:tab w:val="left" w:pos="417"/>
                      <w:tab w:val="left" w:pos="3615"/>
                    </w:tabs>
                    <w:jc w:val="center"/>
                    <w:rPr>
                      <w:sz w:val="20"/>
                    </w:rPr>
                  </w:pPr>
                  <w:r>
                    <w:rPr>
                      <w:sz w:val="20"/>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鹅墩村</w:t>
                  </w:r>
                </w:p>
              </w:tc>
              <w:tc>
                <w:tcPr>
                  <w:tcW w:w="425" w:type="dxa"/>
                  <w:tcMar>
                    <w:top w:w="15" w:type="dxa"/>
                    <w:left w:w="15" w:type="dxa"/>
                    <w:right w:w="15" w:type="dxa"/>
                  </w:tcMar>
                  <w:vAlign w:val="center"/>
                </w:tcPr>
                <w:p>
                  <w:pPr>
                    <w:tabs>
                      <w:tab w:val="left" w:pos="417"/>
                      <w:tab w:val="left" w:pos="3615"/>
                    </w:tabs>
                    <w:jc w:val="center"/>
                    <w:rPr>
                      <w:sz w:val="20"/>
                    </w:rPr>
                  </w:pPr>
                  <w:r>
                    <w:rPr>
                      <w:sz w:val="20"/>
                    </w:rPr>
                    <w:t>88</w:t>
                  </w:r>
                </w:p>
              </w:tc>
              <w:tc>
                <w:tcPr>
                  <w:tcW w:w="425" w:type="dxa"/>
                  <w:tcMar>
                    <w:top w:w="15" w:type="dxa"/>
                    <w:left w:w="15" w:type="dxa"/>
                    <w:right w:w="15" w:type="dxa"/>
                  </w:tcMar>
                  <w:vAlign w:val="center"/>
                </w:tcPr>
                <w:p>
                  <w:pPr>
                    <w:tabs>
                      <w:tab w:val="left" w:pos="417"/>
                      <w:tab w:val="left" w:pos="3615"/>
                    </w:tabs>
                    <w:jc w:val="center"/>
                    <w:rPr>
                      <w:sz w:val="20"/>
                    </w:rPr>
                  </w:pPr>
                  <w:r>
                    <w:rPr>
                      <w:sz w:val="20"/>
                    </w:rPr>
                    <w:t>88</w:t>
                  </w:r>
                </w:p>
              </w:tc>
              <w:tc>
                <w:tcPr>
                  <w:tcW w:w="425" w:type="dxa"/>
                  <w:tcMar>
                    <w:top w:w="15" w:type="dxa"/>
                    <w:left w:w="15" w:type="dxa"/>
                    <w:right w:w="15" w:type="dxa"/>
                  </w:tcMar>
                  <w:vAlign w:val="center"/>
                </w:tcPr>
                <w:p>
                  <w:pPr>
                    <w:tabs>
                      <w:tab w:val="left" w:pos="417"/>
                      <w:tab w:val="left" w:pos="3615"/>
                    </w:tabs>
                    <w:jc w:val="center"/>
                    <w:rPr>
                      <w:sz w:val="20"/>
                    </w:rPr>
                  </w:pPr>
                  <w:r>
                    <w:rPr>
                      <w:sz w:val="20"/>
                    </w:rPr>
                    <w:t>221</w:t>
                  </w:r>
                </w:p>
              </w:tc>
              <w:tc>
                <w:tcPr>
                  <w:tcW w:w="413" w:type="dxa"/>
                  <w:tcMar>
                    <w:top w:w="15" w:type="dxa"/>
                    <w:left w:w="15" w:type="dxa"/>
                    <w:right w:w="15" w:type="dxa"/>
                  </w:tcMar>
                  <w:vAlign w:val="center"/>
                </w:tcPr>
                <w:p>
                  <w:pPr>
                    <w:tabs>
                      <w:tab w:val="left" w:pos="417"/>
                      <w:tab w:val="left" w:pos="3615"/>
                    </w:tabs>
                    <w:jc w:val="center"/>
                    <w:rPr>
                      <w:sz w:val="20"/>
                    </w:rPr>
                  </w:pPr>
                  <w:r>
                    <w:rPr>
                      <w:sz w:val="20"/>
                    </w:rPr>
                    <w:t>221</w:t>
                  </w:r>
                </w:p>
              </w:tc>
              <w:tc>
                <w:tcPr>
                  <w:tcW w:w="450" w:type="dxa"/>
                  <w:tcMar>
                    <w:top w:w="15" w:type="dxa"/>
                    <w:left w:w="15" w:type="dxa"/>
                    <w:right w:w="15" w:type="dxa"/>
                  </w:tcMar>
                  <w:vAlign w:val="center"/>
                </w:tcPr>
                <w:p>
                  <w:pPr>
                    <w:tabs>
                      <w:tab w:val="left" w:pos="417"/>
                      <w:tab w:val="left" w:pos="3615"/>
                    </w:tabs>
                    <w:jc w:val="center"/>
                    <w:rPr>
                      <w:sz w:val="20"/>
                    </w:rPr>
                  </w:pPr>
                  <w:r>
                    <w:rPr>
                      <w:sz w:val="20"/>
                    </w:rPr>
                    <w:t>530</w:t>
                  </w:r>
                </w:p>
              </w:tc>
              <w:tc>
                <w:tcPr>
                  <w:tcW w:w="387" w:type="dxa"/>
                  <w:tcMar>
                    <w:top w:w="15" w:type="dxa"/>
                    <w:left w:w="15" w:type="dxa"/>
                    <w:right w:w="15" w:type="dxa"/>
                  </w:tcMar>
                  <w:vAlign w:val="center"/>
                </w:tcPr>
                <w:p>
                  <w:pPr>
                    <w:tabs>
                      <w:tab w:val="left" w:pos="417"/>
                      <w:tab w:val="left" w:pos="3615"/>
                    </w:tabs>
                    <w:jc w:val="center"/>
                    <w:rPr>
                      <w:sz w:val="20"/>
                    </w:rPr>
                  </w:pPr>
                  <w:r>
                    <w:rPr>
                      <w:sz w:val="20"/>
                    </w:rPr>
                    <w:t>177</w:t>
                  </w:r>
                </w:p>
              </w:tc>
              <w:tc>
                <w:tcPr>
                  <w:tcW w:w="538" w:type="dxa"/>
                  <w:tcMar>
                    <w:top w:w="15" w:type="dxa"/>
                    <w:left w:w="15" w:type="dxa"/>
                    <w:right w:w="15" w:type="dxa"/>
                  </w:tcMar>
                  <w:vAlign w:val="center"/>
                </w:tcPr>
                <w:p>
                  <w:pPr>
                    <w:tabs>
                      <w:tab w:val="left" w:pos="417"/>
                      <w:tab w:val="left" w:pos="3615"/>
                    </w:tabs>
                    <w:jc w:val="center"/>
                    <w:rPr>
                      <w:sz w:val="20"/>
                    </w:rPr>
                  </w:pPr>
                  <w:r>
                    <w:rPr>
                      <w:sz w:val="20"/>
                    </w:rPr>
                    <w:t>1325</w:t>
                  </w:r>
                </w:p>
              </w:tc>
              <w:tc>
                <w:tcPr>
                  <w:tcW w:w="475" w:type="dxa"/>
                  <w:tcMar>
                    <w:top w:w="15" w:type="dxa"/>
                    <w:left w:w="15" w:type="dxa"/>
                    <w:right w:w="15" w:type="dxa"/>
                  </w:tcMar>
                  <w:vAlign w:val="center"/>
                </w:tcPr>
                <w:p>
                  <w:pPr>
                    <w:tabs>
                      <w:tab w:val="left" w:pos="417"/>
                      <w:tab w:val="left" w:pos="3615"/>
                    </w:tabs>
                    <w:jc w:val="center"/>
                    <w:rPr>
                      <w:sz w:val="20"/>
                    </w:rPr>
                  </w:pPr>
                  <w:r>
                    <w:rPr>
                      <w:sz w:val="20"/>
                    </w:rPr>
                    <w:t>442</w:t>
                  </w:r>
                </w:p>
              </w:tc>
              <w:tc>
                <w:tcPr>
                  <w:tcW w:w="437" w:type="dxa"/>
                  <w:tcMar>
                    <w:top w:w="15" w:type="dxa"/>
                    <w:left w:w="15" w:type="dxa"/>
                    <w:right w:w="15" w:type="dxa"/>
                  </w:tcMar>
                  <w:vAlign w:val="center"/>
                </w:tcPr>
                <w:p>
                  <w:pPr>
                    <w:tabs>
                      <w:tab w:val="left" w:pos="417"/>
                      <w:tab w:val="left" w:pos="3615"/>
                    </w:tabs>
                    <w:jc w:val="center"/>
                    <w:rPr>
                      <w:sz w:val="20"/>
                    </w:rPr>
                  </w:pPr>
                  <w:r>
                    <w:rPr>
                      <w:sz w:val="20"/>
                    </w:rPr>
                    <w:t>4</w:t>
                  </w:r>
                </w:p>
              </w:tc>
              <w:tc>
                <w:tcPr>
                  <w:tcW w:w="475" w:type="dxa"/>
                  <w:tcMar>
                    <w:top w:w="15" w:type="dxa"/>
                    <w:left w:w="15" w:type="dxa"/>
                    <w:right w:w="15" w:type="dxa"/>
                  </w:tcMar>
                  <w:vAlign w:val="center"/>
                </w:tcPr>
                <w:p>
                  <w:pPr>
                    <w:tabs>
                      <w:tab w:val="left" w:pos="417"/>
                      <w:tab w:val="left" w:pos="3615"/>
                    </w:tabs>
                    <w:jc w:val="center"/>
                    <w:rPr>
                      <w:sz w:val="20"/>
                    </w:rPr>
                  </w:pPr>
                  <w:r>
                    <w:rPr>
                      <w:sz w:val="20"/>
                    </w:rPr>
                    <w:t>18</w:t>
                  </w:r>
                </w:p>
              </w:tc>
              <w:tc>
                <w:tcPr>
                  <w:tcW w:w="425" w:type="dxa"/>
                  <w:tcMar>
                    <w:top w:w="15" w:type="dxa"/>
                    <w:left w:w="15" w:type="dxa"/>
                    <w:right w:w="15" w:type="dxa"/>
                  </w:tcMar>
                  <w:vAlign w:val="center"/>
                </w:tcPr>
                <w:p>
                  <w:pPr>
                    <w:tabs>
                      <w:tab w:val="left" w:pos="417"/>
                      <w:tab w:val="left" w:pos="3615"/>
                    </w:tabs>
                    <w:jc w:val="center"/>
                    <w:rPr>
                      <w:sz w:val="20"/>
                    </w:rPr>
                  </w:pPr>
                  <w:r>
                    <w:rPr>
                      <w:sz w:val="20"/>
                    </w:rPr>
                    <w:t>6</w:t>
                  </w:r>
                </w:p>
              </w:tc>
              <w:tc>
                <w:tcPr>
                  <w:tcW w:w="463" w:type="dxa"/>
                  <w:tcMar>
                    <w:top w:w="15" w:type="dxa"/>
                    <w:left w:w="15" w:type="dxa"/>
                    <w:right w:w="15" w:type="dxa"/>
                  </w:tcMar>
                  <w:vAlign w:val="center"/>
                </w:tcPr>
                <w:p>
                  <w:pPr>
                    <w:tabs>
                      <w:tab w:val="left" w:pos="417"/>
                      <w:tab w:val="left" w:pos="3615"/>
                    </w:tabs>
                    <w:jc w:val="center"/>
                    <w:rPr>
                      <w:sz w:val="20"/>
                    </w:rPr>
                  </w:pPr>
                  <w:r>
                    <w:rPr>
                      <w:sz w:val="20"/>
                    </w:rPr>
                    <w:t>20</w:t>
                  </w:r>
                </w:p>
              </w:tc>
              <w:tc>
                <w:tcPr>
                  <w:tcW w:w="475" w:type="dxa"/>
                  <w:tcMar>
                    <w:top w:w="15" w:type="dxa"/>
                    <w:left w:w="15" w:type="dxa"/>
                    <w:right w:w="15" w:type="dxa"/>
                  </w:tcMar>
                  <w:vAlign w:val="center"/>
                </w:tcPr>
                <w:p>
                  <w:pPr>
                    <w:tabs>
                      <w:tab w:val="left" w:pos="417"/>
                      <w:tab w:val="left" w:pos="3615"/>
                    </w:tabs>
                    <w:jc w:val="center"/>
                    <w:rPr>
                      <w:sz w:val="20"/>
                    </w:rPr>
                  </w:pPr>
                  <w:r>
                    <w:rPr>
                      <w:sz w:val="20"/>
                    </w:rPr>
                    <w:t>82</w:t>
                  </w:r>
                </w:p>
              </w:tc>
              <w:tc>
                <w:tcPr>
                  <w:tcW w:w="575" w:type="dxa"/>
                  <w:tcMar>
                    <w:top w:w="15" w:type="dxa"/>
                    <w:left w:w="15" w:type="dxa"/>
                    <w:right w:w="15" w:type="dxa"/>
                  </w:tcMar>
                  <w:vAlign w:val="center"/>
                </w:tcPr>
                <w:p>
                  <w:pPr>
                    <w:tabs>
                      <w:tab w:val="left" w:pos="417"/>
                      <w:tab w:val="left" w:pos="3615"/>
                    </w:tabs>
                    <w:jc w:val="center"/>
                    <w:rPr>
                      <w:sz w:val="20"/>
                    </w:rPr>
                  </w:pPr>
                  <w:r>
                    <w:rPr>
                      <w:sz w:val="20"/>
                    </w:rPr>
                    <w:t>36</w:t>
                  </w:r>
                </w:p>
              </w:tc>
              <w:tc>
                <w:tcPr>
                  <w:tcW w:w="492" w:type="dxa"/>
                  <w:tcMar>
                    <w:top w:w="15" w:type="dxa"/>
                    <w:left w:w="15" w:type="dxa"/>
                    <w:right w:w="15" w:type="dxa"/>
                  </w:tcMar>
                  <w:vAlign w:val="center"/>
                </w:tcPr>
                <w:p>
                  <w:pPr>
                    <w:tabs>
                      <w:tab w:val="left" w:pos="417"/>
                      <w:tab w:val="left" w:pos="3615"/>
                    </w:tabs>
                    <w:jc w:val="center"/>
                    <w:rPr>
                      <w:sz w:val="20"/>
                    </w:rPr>
                  </w:pPr>
                  <w:r>
                    <w:rPr>
                      <w:sz w:val="20"/>
                    </w:rPr>
                    <w:t>4085</w:t>
                  </w:r>
                </w:p>
              </w:tc>
              <w:tc>
                <w:tcPr>
                  <w:tcW w:w="474" w:type="dxa"/>
                  <w:tcMar>
                    <w:top w:w="15" w:type="dxa"/>
                    <w:left w:w="15" w:type="dxa"/>
                    <w:right w:w="15" w:type="dxa"/>
                  </w:tcMar>
                  <w:vAlign w:val="center"/>
                </w:tcPr>
                <w:p>
                  <w:pPr>
                    <w:tabs>
                      <w:tab w:val="left" w:pos="417"/>
                      <w:tab w:val="left" w:pos="3615"/>
                    </w:tabs>
                    <w:jc w:val="center"/>
                    <w:rPr>
                      <w:sz w:val="20"/>
                    </w:rPr>
                  </w:pPr>
                  <w:r>
                    <w:rPr>
                      <w:sz w:val="20"/>
                    </w:rPr>
                    <w:t>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永联</w:t>
                  </w:r>
                </w:p>
              </w:tc>
              <w:tc>
                <w:tcPr>
                  <w:tcW w:w="662" w:type="dxa"/>
                  <w:tcMar>
                    <w:top w:w="15" w:type="dxa"/>
                    <w:left w:w="15" w:type="dxa"/>
                    <w:right w:w="15" w:type="dxa"/>
                  </w:tcMar>
                  <w:vAlign w:val="center"/>
                </w:tcPr>
                <w:p>
                  <w:pPr>
                    <w:tabs>
                      <w:tab w:val="left" w:pos="417"/>
                      <w:tab w:val="left" w:pos="3615"/>
                    </w:tabs>
                    <w:jc w:val="center"/>
                    <w:rPr>
                      <w:sz w:val="20"/>
                    </w:rPr>
                  </w:pPr>
                  <w:r>
                    <w:rPr>
                      <w:sz w:val="20"/>
                    </w:rPr>
                    <w:t>大佛村</w:t>
                  </w:r>
                </w:p>
              </w:tc>
              <w:tc>
                <w:tcPr>
                  <w:tcW w:w="425" w:type="dxa"/>
                  <w:tcMar>
                    <w:top w:w="15" w:type="dxa"/>
                    <w:left w:w="15" w:type="dxa"/>
                    <w:right w:w="15" w:type="dxa"/>
                  </w:tcMar>
                  <w:vAlign w:val="center"/>
                </w:tcPr>
                <w:p>
                  <w:pPr>
                    <w:tabs>
                      <w:tab w:val="left" w:pos="417"/>
                      <w:tab w:val="left" w:pos="3615"/>
                    </w:tabs>
                    <w:jc w:val="center"/>
                    <w:rPr>
                      <w:sz w:val="20"/>
                    </w:rPr>
                  </w:pPr>
                  <w:r>
                    <w:rPr>
                      <w:sz w:val="20"/>
                    </w:rPr>
                    <w:t>129</w:t>
                  </w:r>
                </w:p>
              </w:tc>
              <w:tc>
                <w:tcPr>
                  <w:tcW w:w="425" w:type="dxa"/>
                  <w:tcMar>
                    <w:top w:w="15" w:type="dxa"/>
                    <w:left w:w="15" w:type="dxa"/>
                    <w:right w:w="15" w:type="dxa"/>
                  </w:tcMar>
                  <w:vAlign w:val="center"/>
                </w:tcPr>
                <w:p>
                  <w:pPr>
                    <w:tabs>
                      <w:tab w:val="left" w:pos="417"/>
                      <w:tab w:val="left" w:pos="3615"/>
                    </w:tabs>
                    <w:jc w:val="center"/>
                    <w:rPr>
                      <w:sz w:val="20"/>
                    </w:rPr>
                  </w:pPr>
                  <w:r>
                    <w:rPr>
                      <w:sz w:val="20"/>
                    </w:rPr>
                    <w:t>129</w:t>
                  </w:r>
                </w:p>
              </w:tc>
              <w:tc>
                <w:tcPr>
                  <w:tcW w:w="425" w:type="dxa"/>
                  <w:tcMar>
                    <w:top w:w="15" w:type="dxa"/>
                    <w:left w:w="15" w:type="dxa"/>
                    <w:right w:w="15" w:type="dxa"/>
                  </w:tcMar>
                  <w:vAlign w:val="center"/>
                </w:tcPr>
                <w:p>
                  <w:pPr>
                    <w:tabs>
                      <w:tab w:val="left" w:pos="417"/>
                      <w:tab w:val="left" w:pos="3615"/>
                    </w:tabs>
                    <w:jc w:val="center"/>
                    <w:rPr>
                      <w:sz w:val="20"/>
                    </w:rPr>
                  </w:pPr>
                  <w:r>
                    <w:rPr>
                      <w:sz w:val="20"/>
                    </w:rPr>
                    <w:t>321</w:t>
                  </w:r>
                </w:p>
              </w:tc>
              <w:tc>
                <w:tcPr>
                  <w:tcW w:w="413" w:type="dxa"/>
                  <w:tcMar>
                    <w:top w:w="15" w:type="dxa"/>
                    <w:left w:w="15" w:type="dxa"/>
                    <w:right w:w="15" w:type="dxa"/>
                  </w:tcMar>
                  <w:vAlign w:val="center"/>
                </w:tcPr>
                <w:p>
                  <w:pPr>
                    <w:tabs>
                      <w:tab w:val="left" w:pos="417"/>
                      <w:tab w:val="left" w:pos="3615"/>
                    </w:tabs>
                    <w:jc w:val="center"/>
                    <w:rPr>
                      <w:sz w:val="20"/>
                    </w:rPr>
                  </w:pPr>
                  <w:r>
                    <w:rPr>
                      <w:sz w:val="20"/>
                    </w:rPr>
                    <w:t>321</w:t>
                  </w:r>
                </w:p>
              </w:tc>
              <w:tc>
                <w:tcPr>
                  <w:tcW w:w="450" w:type="dxa"/>
                  <w:tcMar>
                    <w:top w:w="15" w:type="dxa"/>
                    <w:left w:w="15" w:type="dxa"/>
                    <w:right w:w="15" w:type="dxa"/>
                  </w:tcMar>
                  <w:vAlign w:val="center"/>
                </w:tcPr>
                <w:p>
                  <w:pPr>
                    <w:tabs>
                      <w:tab w:val="left" w:pos="417"/>
                      <w:tab w:val="left" w:pos="3615"/>
                    </w:tabs>
                    <w:jc w:val="center"/>
                    <w:rPr>
                      <w:sz w:val="20"/>
                    </w:rPr>
                  </w:pPr>
                  <w:r>
                    <w:rPr>
                      <w:sz w:val="20"/>
                    </w:rPr>
                    <w:t>772</w:t>
                  </w:r>
                </w:p>
              </w:tc>
              <w:tc>
                <w:tcPr>
                  <w:tcW w:w="387" w:type="dxa"/>
                  <w:tcMar>
                    <w:top w:w="15" w:type="dxa"/>
                    <w:left w:w="15" w:type="dxa"/>
                    <w:right w:w="15" w:type="dxa"/>
                  </w:tcMar>
                  <w:vAlign w:val="center"/>
                </w:tcPr>
                <w:p>
                  <w:pPr>
                    <w:tabs>
                      <w:tab w:val="left" w:pos="417"/>
                      <w:tab w:val="left" w:pos="3615"/>
                    </w:tabs>
                    <w:jc w:val="center"/>
                    <w:rPr>
                      <w:sz w:val="20"/>
                    </w:rPr>
                  </w:pPr>
                  <w:r>
                    <w:rPr>
                      <w:sz w:val="20"/>
                    </w:rPr>
                    <w:t>257</w:t>
                  </w:r>
                </w:p>
              </w:tc>
              <w:tc>
                <w:tcPr>
                  <w:tcW w:w="538" w:type="dxa"/>
                  <w:tcMar>
                    <w:top w:w="15" w:type="dxa"/>
                    <w:left w:w="15" w:type="dxa"/>
                    <w:right w:w="15" w:type="dxa"/>
                  </w:tcMar>
                  <w:vAlign w:val="center"/>
                </w:tcPr>
                <w:p>
                  <w:pPr>
                    <w:tabs>
                      <w:tab w:val="left" w:pos="417"/>
                      <w:tab w:val="left" w:pos="3615"/>
                    </w:tabs>
                    <w:jc w:val="center"/>
                    <w:rPr>
                      <w:sz w:val="20"/>
                    </w:rPr>
                  </w:pPr>
                  <w:r>
                    <w:rPr>
                      <w:sz w:val="20"/>
                    </w:rPr>
                    <w:t>1929</w:t>
                  </w:r>
                </w:p>
              </w:tc>
              <w:tc>
                <w:tcPr>
                  <w:tcW w:w="475" w:type="dxa"/>
                  <w:tcMar>
                    <w:top w:w="15" w:type="dxa"/>
                    <w:left w:w="15" w:type="dxa"/>
                    <w:right w:w="15" w:type="dxa"/>
                  </w:tcMar>
                  <w:vAlign w:val="center"/>
                </w:tcPr>
                <w:p>
                  <w:pPr>
                    <w:tabs>
                      <w:tab w:val="left" w:pos="417"/>
                      <w:tab w:val="left" w:pos="3615"/>
                    </w:tabs>
                    <w:jc w:val="center"/>
                    <w:rPr>
                      <w:sz w:val="20"/>
                    </w:rPr>
                  </w:pPr>
                  <w:r>
                    <w:rPr>
                      <w:sz w:val="20"/>
                    </w:rPr>
                    <w:t>643</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26</w:t>
                  </w:r>
                </w:p>
              </w:tc>
              <w:tc>
                <w:tcPr>
                  <w:tcW w:w="425" w:type="dxa"/>
                  <w:tcMar>
                    <w:top w:w="15" w:type="dxa"/>
                    <w:left w:w="15" w:type="dxa"/>
                    <w:right w:w="15" w:type="dxa"/>
                  </w:tcMar>
                  <w:vAlign w:val="center"/>
                </w:tcPr>
                <w:p>
                  <w:pPr>
                    <w:tabs>
                      <w:tab w:val="left" w:pos="417"/>
                      <w:tab w:val="left" w:pos="3615"/>
                    </w:tabs>
                    <w:jc w:val="center"/>
                    <w:rPr>
                      <w:sz w:val="20"/>
                    </w:rPr>
                  </w:pPr>
                  <w:r>
                    <w:rPr>
                      <w:sz w:val="20"/>
                    </w:rPr>
                    <w:t>9</w:t>
                  </w:r>
                </w:p>
              </w:tc>
              <w:tc>
                <w:tcPr>
                  <w:tcW w:w="463" w:type="dxa"/>
                  <w:tcMar>
                    <w:top w:w="15" w:type="dxa"/>
                    <w:left w:w="15" w:type="dxa"/>
                    <w:right w:w="15" w:type="dxa"/>
                  </w:tcMar>
                  <w:vAlign w:val="center"/>
                </w:tcPr>
                <w:p>
                  <w:pPr>
                    <w:tabs>
                      <w:tab w:val="left" w:pos="417"/>
                      <w:tab w:val="left" w:pos="3615"/>
                    </w:tabs>
                    <w:jc w:val="center"/>
                    <w:rPr>
                      <w:sz w:val="20"/>
                    </w:rPr>
                  </w:pPr>
                  <w:r>
                    <w:rPr>
                      <w:sz w:val="20"/>
                    </w:rPr>
                    <w:t>30</w:t>
                  </w:r>
                </w:p>
              </w:tc>
              <w:tc>
                <w:tcPr>
                  <w:tcW w:w="475" w:type="dxa"/>
                  <w:tcMar>
                    <w:top w:w="15" w:type="dxa"/>
                    <w:left w:w="15" w:type="dxa"/>
                    <w:right w:w="15" w:type="dxa"/>
                  </w:tcMar>
                  <w:vAlign w:val="center"/>
                </w:tcPr>
                <w:p>
                  <w:pPr>
                    <w:tabs>
                      <w:tab w:val="left" w:pos="417"/>
                      <w:tab w:val="left" w:pos="3615"/>
                    </w:tabs>
                    <w:jc w:val="center"/>
                    <w:rPr>
                      <w:sz w:val="20"/>
                    </w:rPr>
                  </w:pPr>
                  <w:r>
                    <w:rPr>
                      <w:sz w:val="20"/>
                    </w:rPr>
                    <w:t>119</w:t>
                  </w:r>
                </w:p>
              </w:tc>
              <w:tc>
                <w:tcPr>
                  <w:tcW w:w="575" w:type="dxa"/>
                  <w:tcMar>
                    <w:top w:w="15" w:type="dxa"/>
                    <w:left w:w="15" w:type="dxa"/>
                    <w:right w:w="15" w:type="dxa"/>
                  </w:tcMar>
                  <w:vAlign w:val="center"/>
                </w:tcPr>
                <w:p>
                  <w:pPr>
                    <w:tabs>
                      <w:tab w:val="left" w:pos="417"/>
                      <w:tab w:val="left" w:pos="3615"/>
                    </w:tabs>
                    <w:jc w:val="center"/>
                    <w:rPr>
                      <w:sz w:val="20"/>
                    </w:rPr>
                  </w:pPr>
                  <w:r>
                    <w:rPr>
                      <w:sz w:val="20"/>
                    </w:rPr>
                    <w:t>52</w:t>
                  </w:r>
                </w:p>
              </w:tc>
              <w:tc>
                <w:tcPr>
                  <w:tcW w:w="492" w:type="dxa"/>
                  <w:tcMar>
                    <w:top w:w="15" w:type="dxa"/>
                    <w:left w:w="15" w:type="dxa"/>
                    <w:right w:w="15" w:type="dxa"/>
                  </w:tcMar>
                  <w:vAlign w:val="center"/>
                </w:tcPr>
                <w:p>
                  <w:pPr>
                    <w:tabs>
                      <w:tab w:val="left" w:pos="417"/>
                      <w:tab w:val="left" w:pos="3615"/>
                    </w:tabs>
                    <w:jc w:val="center"/>
                    <w:rPr>
                      <w:sz w:val="20"/>
                    </w:rPr>
                  </w:pPr>
                  <w:r>
                    <w:rPr>
                      <w:sz w:val="20"/>
                    </w:rPr>
                    <w:t>5947</w:t>
                  </w:r>
                </w:p>
              </w:tc>
              <w:tc>
                <w:tcPr>
                  <w:tcW w:w="474" w:type="dxa"/>
                  <w:tcMar>
                    <w:top w:w="15" w:type="dxa"/>
                    <w:left w:w="15" w:type="dxa"/>
                    <w:right w:w="15" w:type="dxa"/>
                  </w:tcMar>
                  <w:vAlign w:val="center"/>
                </w:tcPr>
                <w:p>
                  <w:pPr>
                    <w:tabs>
                      <w:tab w:val="left" w:pos="417"/>
                      <w:tab w:val="left" w:pos="3615"/>
                    </w:tabs>
                    <w:jc w:val="center"/>
                    <w:rPr>
                      <w:sz w:val="20"/>
                    </w:rPr>
                  </w:pPr>
                  <w:r>
                    <w:rPr>
                      <w:sz w:val="20"/>
                    </w:rPr>
                    <w:t>2732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中前所</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171</w:t>
                  </w:r>
                </w:p>
              </w:tc>
              <w:tc>
                <w:tcPr>
                  <w:tcW w:w="413" w:type="dxa"/>
                  <w:tcMar>
                    <w:top w:w="15" w:type="dxa"/>
                    <w:left w:w="15" w:type="dxa"/>
                    <w:right w:w="15" w:type="dxa"/>
                  </w:tcMar>
                  <w:vAlign w:val="center"/>
                </w:tcPr>
                <w:p>
                  <w:pPr>
                    <w:tabs>
                      <w:tab w:val="left" w:pos="417"/>
                      <w:tab w:val="left" w:pos="3615"/>
                    </w:tabs>
                    <w:jc w:val="center"/>
                    <w:rPr>
                      <w:sz w:val="20"/>
                    </w:rPr>
                  </w:pPr>
                  <w:r>
                    <w:rPr>
                      <w:sz w:val="20"/>
                    </w:rPr>
                    <w:t>171</w:t>
                  </w:r>
                </w:p>
              </w:tc>
              <w:tc>
                <w:tcPr>
                  <w:tcW w:w="450" w:type="dxa"/>
                  <w:tcMar>
                    <w:top w:w="15" w:type="dxa"/>
                    <w:left w:w="15" w:type="dxa"/>
                    <w:right w:w="15" w:type="dxa"/>
                  </w:tcMar>
                  <w:vAlign w:val="center"/>
                </w:tcPr>
                <w:p>
                  <w:pPr>
                    <w:tabs>
                      <w:tab w:val="left" w:pos="417"/>
                      <w:tab w:val="left" w:pos="3615"/>
                    </w:tabs>
                    <w:jc w:val="center"/>
                    <w:rPr>
                      <w:sz w:val="20"/>
                    </w:rPr>
                  </w:pPr>
                  <w:r>
                    <w:rPr>
                      <w:sz w:val="20"/>
                    </w:rPr>
                    <w:t>409</w:t>
                  </w:r>
                </w:p>
              </w:tc>
              <w:tc>
                <w:tcPr>
                  <w:tcW w:w="387" w:type="dxa"/>
                  <w:tcMar>
                    <w:top w:w="15" w:type="dxa"/>
                    <w:left w:w="15" w:type="dxa"/>
                    <w:right w:w="15" w:type="dxa"/>
                  </w:tcMar>
                  <w:vAlign w:val="center"/>
                </w:tcPr>
                <w:p>
                  <w:pPr>
                    <w:tabs>
                      <w:tab w:val="left" w:pos="417"/>
                      <w:tab w:val="left" w:pos="3615"/>
                    </w:tabs>
                    <w:jc w:val="center"/>
                    <w:rPr>
                      <w:sz w:val="20"/>
                    </w:rPr>
                  </w:pPr>
                  <w:r>
                    <w:rPr>
                      <w:sz w:val="20"/>
                    </w:rPr>
                    <w:t>136</w:t>
                  </w:r>
                </w:p>
              </w:tc>
              <w:tc>
                <w:tcPr>
                  <w:tcW w:w="538" w:type="dxa"/>
                  <w:tcMar>
                    <w:top w:w="15" w:type="dxa"/>
                    <w:left w:w="15" w:type="dxa"/>
                    <w:right w:w="15" w:type="dxa"/>
                  </w:tcMar>
                  <w:vAlign w:val="center"/>
                </w:tcPr>
                <w:p>
                  <w:pPr>
                    <w:tabs>
                      <w:tab w:val="left" w:pos="417"/>
                      <w:tab w:val="left" w:pos="3615"/>
                    </w:tabs>
                    <w:jc w:val="center"/>
                    <w:rPr>
                      <w:sz w:val="20"/>
                    </w:rPr>
                  </w:pPr>
                  <w:r>
                    <w:rPr>
                      <w:sz w:val="20"/>
                    </w:rPr>
                    <w:t>1023</w:t>
                  </w:r>
                </w:p>
              </w:tc>
              <w:tc>
                <w:tcPr>
                  <w:tcW w:w="475" w:type="dxa"/>
                  <w:tcMar>
                    <w:top w:w="15" w:type="dxa"/>
                    <w:left w:w="15" w:type="dxa"/>
                    <w:right w:w="15" w:type="dxa"/>
                  </w:tcMar>
                  <w:vAlign w:val="center"/>
                </w:tcPr>
                <w:p>
                  <w:pPr>
                    <w:tabs>
                      <w:tab w:val="left" w:pos="417"/>
                      <w:tab w:val="left" w:pos="3615"/>
                    </w:tabs>
                    <w:jc w:val="center"/>
                    <w:rPr>
                      <w:sz w:val="20"/>
                    </w:rPr>
                  </w:pPr>
                  <w:r>
                    <w:rPr>
                      <w:sz w:val="20"/>
                    </w:rPr>
                    <w:t>341</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14</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16</w:t>
                  </w:r>
                </w:p>
              </w:tc>
              <w:tc>
                <w:tcPr>
                  <w:tcW w:w="475" w:type="dxa"/>
                  <w:tcMar>
                    <w:top w:w="15" w:type="dxa"/>
                    <w:left w:w="15" w:type="dxa"/>
                    <w:right w:w="15" w:type="dxa"/>
                  </w:tcMar>
                  <w:vAlign w:val="center"/>
                </w:tcPr>
                <w:p>
                  <w:pPr>
                    <w:tabs>
                      <w:tab w:val="left" w:pos="417"/>
                      <w:tab w:val="left" w:pos="3615"/>
                    </w:tabs>
                    <w:jc w:val="center"/>
                    <w:rPr>
                      <w:sz w:val="20"/>
                    </w:rPr>
                  </w:pPr>
                  <w:r>
                    <w:rPr>
                      <w:sz w:val="20"/>
                    </w:rPr>
                    <w:t>63</w:t>
                  </w:r>
                </w:p>
              </w:tc>
              <w:tc>
                <w:tcPr>
                  <w:tcW w:w="575" w:type="dxa"/>
                  <w:tcMar>
                    <w:top w:w="15" w:type="dxa"/>
                    <w:left w:w="15" w:type="dxa"/>
                    <w:right w:w="15" w:type="dxa"/>
                  </w:tcMar>
                  <w:vAlign w:val="center"/>
                </w:tcPr>
                <w:p>
                  <w:pPr>
                    <w:tabs>
                      <w:tab w:val="left" w:pos="417"/>
                      <w:tab w:val="left" w:pos="3615"/>
                    </w:tabs>
                    <w:jc w:val="center"/>
                    <w:rPr>
                      <w:sz w:val="20"/>
                    </w:rPr>
                  </w:pPr>
                  <w:r>
                    <w:rPr>
                      <w:sz w:val="20"/>
                    </w:rPr>
                    <w:t>28</w:t>
                  </w:r>
                </w:p>
              </w:tc>
              <w:tc>
                <w:tcPr>
                  <w:tcW w:w="492" w:type="dxa"/>
                  <w:tcMar>
                    <w:top w:w="15" w:type="dxa"/>
                    <w:left w:w="15" w:type="dxa"/>
                    <w:right w:w="15" w:type="dxa"/>
                  </w:tcMar>
                  <w:vAlign w:val="center"/>
                </w:tcPr>
                <w:p>
                  <w:pPr>
                    <w:tabs>
                      <w:tab w:val="left" w:pos="417"/>
                      <w:tab w:val="left" w:pos="3615"/>
                    </w:tabs>
                    <w:jc w:val="center"/>
                    <w:rPr>
                      <w:sz w:val="20"/>
                    </w:rPr>
                  </w:pPr>
                  <w:r>
                    <w:rPr>
                      <w:sz w:val="20"/>
                    </w:rPr>
                    <w:t>3155</w:t>
                  </w:r>
                </w:p>
              </w:tc>
              <w:tc>
                <w:tcPr>
                  <w:tcW w:w="474" w:type="dxa"/>
                  <w:tcMar>
                    <w:top w:w="15" w:type="dxa"/>
                    <w:left w:w="15" w:type="dxa"/>
                    <w:right w:w="15" w:type="dxa"/>
                  </w:tcMar>
                  <w:vAlign w:val="center"/>
                </w:tcPr>
                <w:p>
                  <w:pPr>
                    <w:tabs>
                      <w:tab w:val="left" w:pos="417"/>
                      <w:tab w:val="left" w:pos="3615"/>
                    </w:tabs>
                    <w:jc w:val="center"/>
                    <w:rPr>
                      <w:sz w:val="20"/>
                    </w:rPr>
                  </w:pPr>
                  <w:r>
                    <w:rPr>
                      <w:sz w:val="20"/>
                    </w:rPr>
                    <w:t>1449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运亨村</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171</w:t>
                  </w:r>
                </w:p>
              </w:tc>
              <w:tc>
                <w:tcPr>
                  <w:tcW w:w="413" w:type="dxa"/>
                  <w:tcMar>
                    <w:top w:w="15" w:type="dxa"/>
                    <w:left w:w="15" w:type="dxa"/>
                    <w:right w:w="15" w:type="dxa"/>
                  </w:tcMar>
                  <w:vAlign w:val="center"/>
                </w:tcPr>
                <w:p>
                  <w:pPr>
                    <w:tabs>
                      <w:tab w:val="left" w:pos="417"/>
                      <w:tab w:val="left" w:pos="3615"/>
                    </w:tabs>
                    <w:jc w:val="center"/>
                    <w:rPr>
                      <w:sz w:val="20"/>
                    </w:rPr>
                  </w:pPr>
                  <w:r>
                    <w:rPr>
                      <w:sz w:val="20"/>
                    </w:rPr>
                    <w:t>171</w:t>
                  </w:r>
                </w:p>
              </w:tc>
              <w:tc>
                <w:tcPr>
                  <w:tcW w:w="450" w:type="dxa"/>
                  <w:tcMar>
                    <w:top w:w="15" w:type="dxa"/>
                    <w:left w:w="15" w:type="dxa"/>
                    <w:right w:w="15" w:type="dxa"/>
                  </w:tcMar>
                  <w:vAlign w:val="center"/>
                </w:tcPr>
                <w:p>
                  <w:pPr>
                    <w:tabs>
                      <w:tab w:val="left" w:pos="417"/>
                      <w:tab w:val="left" w:pos="3615"/>
                    </w:tabs>
                    <w:jc w:val="center"/>
                    <w:rPr>
                      <w:sz w:val="20"/>
                    </w:rPr>
                  </w:pPr>
                  <w:r>
                    <w:rPr>
                      <w:sz w:val="20"/>
                    </w:rPr>
                    <w:t>409</w:t>
                  </w:r>
                </w:p>
              </w:tc>
              <w:tc>
                <w:tcPr>
                  <w:tcW w:w="387" w:type="dxa"/>
                  <w:tcMar>
                    <w:top w:w="15" w:type="dxa"/>
                    <w:left w:w="15" w:type="dxa"/>
                    <w:right w:w="15" w:type="dxa"/>
                  </w:tcMar>
                  <w:vAlign w:val="center"/>
                </w:tcPr>
                <w:p>
                  <w:pPr>
                    <w:tabs>
                      <w:tab w:val="left" w:pos="417"/>
                      <w:tab w:val="left" w:pos="3615"/>
                    </w:tabs>
                    <w:jc w:val="center"/>
                    <w:rPr>
                      <w:sz w:val="20"/>
                    </w:rPr>
                  </w:pPr>
                  <w:r>
                    <w:rPr>
                      <w:sz w:val="20"/>
                    </w:rPr>
                    <w:t>136</w:t>
                  </w:r>
                </w:p>
              </w:tc>
              <w:tc>
                <w:tcPr>
                  <w:tcW w:w="538" w:type="dxa"/>
                  <w:tcMar>
                    <w:top w:w="15" w:type="dxa"/>
                    <w:left w:w="15" w:type="dxa"/>
                    <w:right w:w="15" w:type="dxa"/>
                  </w:tcMar>
                  <w:vAlign w:val="center"/>
                </w:tcPr>
                <w:p>
                  <w:pPr>
                    <w:tabs>
                      <w:tab w:val="left" w:pos="417"/>
                      <w:tab w:val="left" w:pos="3615"/>
                    </w:tabs>
                    <w:jc w:val="center"/>
                    <w:rPr>
                      <w:sz w:val="20"/>
                    </w:rPr>
                  </w:pPr>
                  <w:r>
                    <w:rPr>
                      <w:sz w:val="20"/>
                    </w:rPr>
                    <w:t>1023</w:t>
                  </w:r>
                </w:p>
              </w:tc>
              <w:tc>
                <w:tcPr>
                  <w:tcW w:w="475" w:type="dxa"/>
                  <w:tcMar>
                    <w:top w:w="15" w:type="dxa"/>
                    <w:left w:w="15" w:type="dxa"/>
                    <w:right w:w="15" w:type="dxa"/>
                  </w:tcMar>
                  <w:vAlign w:val="center"/>
                </w:tcPr>
                <w:p>
                  <w:pPr>
                    <w:tabs>
                      <w:tab w:val="left" w:pos="417"/>
                      <w:tab w:val="left" w:pos="3615"/>
                    </w:tabs>
                    <w:jc w:val="center"/>
                    <w:rPr>
                      <w:sz w:val="20"/>
                    </w:rPr>
                  </w:pPr>
                  <w:r>
                    <w:rPr>
                      <w:sz w:val="20"/>
                    </w:rPr>
                    <w:t>341</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14</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16</w:t>
                  </w:r>
                </w:p>
              </w:tc>
              <w:tc>
                <w:tcPr>
                  <w:tcW w:w="475" w:type="dxa"/>
                  <w:tcMar>
                    <w:top w:w="15" w:type="dxa"/>
                    <w:left w:w="15" w:type="dxa"/>
                    <w:right w:w="15" w:type="dxa"/>
                  </w:tcMar>
                  <w:vAlign w:val="center"/>
                </w:tcPr>
                <w:p>
                  <w:pPr>
                    <w:tabs>
                      <w:tab w:val="left" w:pos="417"/>
                      <w:tab w:val="left" w:pos="3615"/>
                    </w:tabs>
                    <w:jc w:val="center"/>
                    <w:rPr>
                      <w:sz w:val="20"/>
                    </w:rPr>
                  </w:pPr>
                  <w:r>
                    <w:rPr>
                      <w:sz w:val="20"/>
                    </w:rPr>
                    <w:t>63</w:t>
                  </w:r>
                </w:p>
              </w:tc>
              <w:tc>
                <w:tcPr>
                  <w:tcW w:w="575" w:type="dxa"/>
                  <w:tcMar>
                    <w:top w:w="15" w:type="dxa"/>
                    <w:left w:w="15" w:type="dxa"/>
                    <w:right w:w="15" w:type="dxa"/>
                  </w:tcMar>
                  <w:vAlign w:val="center"/>
                </w:tcPr>
                <w:p>
                  <w:pPr>
                    <w:tabs>
                      <w:tab w:val="left" w:pos="417"/>
                      <w:tab w:val="left" w:pos="3615"/>
                    </w:tabs>
                    <w:jc w:val="center"/>
                    <w:rPr>
                      <w:sz w:val="20"/>
                    </w:rPr>
                  </w:pPr>
                  <w:r>
                    <w:rPr>
                      <w:sz w:val="20"/>
                    </w:rPr>
                    <w:t>28</w:t>
                  </w:r>
                </w:p>
              </w:tc>
              <w:tc>
                <w:tcPr>
                  <w:tcW w:w="492" w:type="dxa"/>
                  <w:tcMar>
                    <w:top w:w="15" w:type="dxa"/>
                    <w:left w:w="15" w:type="dxa"/>
                    <w:right w:w="15" w:type="dxa"/>
                  </w:tcMar>
                  <w:vAlign w:val="center"/>
                </w:tcPr>
                <w:p>
                  <w:pPr>
                    <w:tabs>
                      <w:tab w:val="left" w:pos="417"/>
                      <w:tab w:val="left" w:pos="3615"/>
                    </w:tabs>
                    <w:jc w:val="center"/>
                    <w:rPr>
                      <w:sz w:val="20"/>
                    </w:rPr>
                  </w:pPr>
                  <w:r>
                    <w:rPr>
                      <w:sz w:val="20"/>
                    </w:rPr>
                    <w:t>3156</w:t>
                  </w:r>
                </w:p>
              </w:tc>
              <w:tc>
                <w:tcPr>
                  <w:tcW w:w="474" w:type="dxa"/>
                  <w:tcMar>
                    <w:top w:w="15" w:type="dxa"/>
                    <w:left w:w="15" w:type="dxa"/>
                    <w:right w:w="15" w:type="dxa"/>
                  </w:tcMar>
                  <w:vAlign w:val="center"/>
                </w:tcPr>
                <w:p>
                  <w:pPr>
                    <w:tabs>
                      <w:tab w:val="left" w:pos="417"/>
                      <w:tab w:val="left" w:pos="3615"/>
                    </w:tabs>
                    <w:jc w:val="center"/>
                    <w:rPr>
                      <w:sz w:val="20"/>
                    </w:rPr>
                  </w:pPr>
                  <w:r>
                    <w:rPr>
                      <w:sz w:val="20"/>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果胜</w:t>
                  </w:r>
                </w:p>
              </w:tc>
              <w:tc>
                <w:tcPr>
                  <w:tcW w:w="662" w:type="dxa"/>
                  <w:tcMar>
                    <w:top w:w="15" w:type="dxa"/>
                    <w:left w:w="15" w:type="dxa"/>
                    <w:right w:w="15" w:type="dxa"/>
                  </w:tcMar>
                  <w:vAlign w:val="center"/>
                </w:tcPr>
                <w:p>
                  <w:pPr>
                    <w:tabs>
                      <w:tab w:val="left" w:pos="417"/>
                      <w:tab w:val="left" w:pos="3615"/>
                    </w:tabs>
                    <w:jc w:val="center"/>
                    <w:rPr>
                      <w:sz w:val="20"/>
                    </w:rPr>
                  </w:pPr>
                  <w:r>
                    <w:rPr>
                      <w:sz w:val="20"/>
                    </w:rPr>
                    <w:t>大果村</w:t>
                  </w:r>
                </w:p>
              </w:tc>
              <w:tc>
                <w:tcPr>
                  <w:tcW w:w="425" w:type="dxa"/>
                  <w:tcMar>
                    <w:top w:w="15" w:type="dxa"/>
                    <w:left w:w="15" w:type="dxa"/>
                    <w:right w:w="15" w:type="dxa"/>
                  </w:tcMar>
                  <w:vAlign w:val="center"/>
                </w:tcPr>
                <w:p>
                  <w:pPr>
                    <w:tabs>
                      <w:tab w:val="left" w:pos="417"/>
                      <w:tab w:val="left" w:pos="3615"/>
                    </w:tabs>
                    <w:jc w:val="center"/>
                    <w:rPr>
                      <w:sz w:val="20"/>
                    </w:rPr>
                  </w:pPr>
                  <w:r>
                    <w:rPr>
                      <w:sz w:val="20"/>
                    </w:rPr>
                    <w:t>91</w:t>
                  </w:r>
                </w:p>
              </w:tc>
              <w:tc>
                <w:tcPr>
                  <w:tcW w:w="425" w:type="dxa"/>
                  <w:tcMar>
                    <w:top w:w="15" w:type="dxa"/>
                    <w:left w:w="15" w:type="dxa"/>
                    <w:right w:w="15" w:type="dxa"/>
                  </w:tcMar>
                  <w:vAlign w:val="center"/>
                </w:tcPr>
                <w:p>
                  <w:pPr>
                    <w:tabs>
                      <w:tab w:val="left" w:pos="417"/>
                      <w:tab w:val="left" w:pos="3615"/>
                    </w:tabs>
                    <w:jc w:val="center"/>
                    <w:rPr>
                      <w:sz w:val="20"/>
                    </w:rPr>
                  </w:pPr>
                  <w:r>
                    <w:rPr>
                      <w:sz w:val="20"/>
                    </w:rPr>
                    <w:t>91</w:t>
                  </w:r>
                </w:p>
              </w:tc>
              <w:tc>
                <w:tcPr>
                  <w:tcW w:w="425" w:type="dxa"/>
                  <w:tcMar>
                    <w:top w:w="15" w:type="dxa"/>
                    <w:left w:w="15" w:type="dxa"/>
                    <w:right w:w="15" w:type="dxa"/>
                  </w:tcMar>
                  <w:vAlign w:val="center"/>
                </w:tcPr>
                <w:p>
                  <w:pPr>
                    <w:tabs>
                      <w:tab w:val="left" w:pos="417"/>
                      <w:tab w:val="left" w:pos="3615"/>
                    </w:tabs>
                    <w:jc w:val="center"/>
                    <w:rPr>
                      <w:sz w:val="20"/>
                    </w:rPr>
                  </w:pPr>
                  <w:r>
                    <w:rPr>
                      <w:sz w:val="20"/>
                    </w:rPr>
                    <w:t>226</w:t>
                  </w:r>
                </w:p>
              </w:tc>
              <w:tc>
                <w:tcPr>
                  <w:tcW w:w="413" w:type="dxa"/>
                  <w:tcMar>
                    <w:top w:w="15" w:type="dxa"/>
                    <w:left w:w="15" w:type="dxa"/>
                    <w:right w:w="15" w:type="dxa"/>
                  </w:tcMar>
                  <w:vAlign w:val="center"/>
                </w:tcPr>
                <w:p>
                  <w:pPr>
                    <w:tabs>
                      <w:tab w:val="left" w:pos="417"/>
                      <w:tab w:val="left" w:pos="3615"/>
                    </w:tabs>
                    <w:jc w:val="center"/>
                    <w:rPr>
                      <w:sz w:val="20"/>
                    </w:rPr>
                  </w:pPr>
                  <w:r>
                    <w:rPr>
                      <w:sz w:val="20"/>
                    </w:rPr>
                    <w:t>226</w:t>
                  </w:r>
                </w:p>
              </w:tc>
              <w:tc>
                <w:tcPr>
                  <w:tcW w:w="450" w:type="dxa"/>
                  <w:tcMar>
                    <w:top w:w="15" w:type="dxa"/>
                    <w:left w:w="15" w:type="dxa"/>
                    <w:right w:w="15" w:type="dxa"/>
                  </w:tcMar>
                  <w:vAlign w:val="center"/>
                </w:tcPr>
                <w:p>
                  <w:pPr>
                    <w:tabs>
                      <w:tab w:val="left" w:pos="417"/>
                      <w:tab w:val="left" w:pos="3615"/>
                    </w:tabs>
                    <w:jc w:val="center"/>
                    <w:rPr>
                      <w:sz w:val="20"/>
                    </w:rPr>
                  </w:pPr>
                  <w:r>
                    <w:rPr>
                      <w:sz w:val="20"/>
                    </w:rPr>
                    <w:t>543</w:t>
                  </w:r>
                </w:p>
              </w:tc>
              <w:tc>
                <w:tcPr>
                  <w:tcW w:w="387" w:type="dxa"/>
                  <w:tcMar>
                    <w:top w:w="15" w:type="dxa"/>
                    <w:left w:w="15" w:type="dxa"/>
                    <w:right w:w="15" w:type="dxa"/>
                  </w:tcMar>
                  <w:vAlign w:val="center"/>
                </w:tcPr>
                <w:p>
                  <w:pPr>
                    <w:tabs>
                      <w:tab w:val="left" w:pos="417"/>
                      <w:tab w:val="left" w:pos="3615"/>
                    </w:tabs>
                    <w:jc w:val="center"/>
                    <w:rPr>
                      <w:sz w:val="20"/>
                    </w:rPr>
                  </w:pPr>
                  <w:r>
                    <w:rPr>
                      <w:sz w:val="20"/>
                    </w:rPr>
                    <w:t>181</w:t>
                  </w:r>
                </w:p>
              </w:tc>
              <w:tc>
                <w:tcPr>
                  <w:tcW w:w="538" w:type="dxa"/>
                  <w:tcMar>
                    <w:top w:w="15" w:type="dxa"/>
                    <w:left w:w="15" w:type="dxa"/>
                    <w:right w:w="15" w:type="dxa"/>
                  </w:tcMar>
                  <w:vAlign w:val="center"/>
                </w:tcPr>
                <w:p>
                  <w:pPr>
                    <w:tabs>
                      <w:tab w:val="left" w:pos="417"/>
                      <w:tab w:val="left" w:pos="3615"/>
                    </w:tabs>
                    <w:jc w:val="center"/>
                    <w:rPr>
                      <w:sz w:val="20"/>
                    </w:rPr>
                  </w:pPr>
                  <w:r>
                    <w:rPr>
                      <w:sz w:val="20"/>
                    </w:rPr>
                    <w:t>1359</w:t>
                  </w:r>
                </w:p>
              </w:tc>
              <w:tc>
                <w:tcPr>
                  <w:tcW w:w="475" w:type="dxa"/>
                  <w:tcMar>
                    <w:top w:w="15" w:type="dxa"/>
                    <w:left w:w="15" w:type="dxa"/>
                    <w:right w:w="15" w:type="dxa"/>
                  </w:tcMar>
                  <w:vAlign w:val="center"/>
                </w:tcPr>
                <w:p>
                  <w:pPr>
                    <w:tabs>
                      <w:tab w:val="left" w:pos="417"/>
                      <w:tab w:val="left" w:pos="3615"/>
                    </w:tabs>
                    <w:jc w:val="center"/>
                    <w:rPr>
                      <w:sz w:val="20"/>
                    </w:rPr>
                  </w:pPr>
                  <w:r>
                    <w:rPr>
                      <w:sz w:val="20"/>
                    </w:rPr>
                    <w:t>453</w:t>
                  </w:r>
                </w:p>
              </w:tc>
              <w:tc>
                <w:tcPr>
                  <w:tcW w:w="437" w:type="dxa"/>
                  <w:tcMar>
                    <w:top w:w="15" w:type="dxa"/>
                    <w:left w:w="15" w:type="dxa"/>
                    <w:right w:w="15" w:type="dxa"/>
                  </w:tcMar>
                  <w:vAlign w:val="center"/>
                </w:tcPr>
                <w:p>
                  <w:pPr>
                    <w:tabs>
                      <w:tab w:val="left" w:pos="417"/>
                      <w:tab w:val="left" w:pos="3615"/>
                    </w:tabs>
                    <w:jc w:val="center"/>
                    <w:rPr>
                      <w:sz w:val="20"/>
                    </w:rPr>
                  </w:pPr>
                  <w:r>
                    <w:rPr>
                      <w:sz w:val="20"/>
                    </w:rPr>
                    <w:t>4</w:t>
                  </w:r>
                </w:p>
              </w:tc>
              <w:tc>
                <w:tcPr>
                  <w:tcW w:w="475" w:type="dxa"/>
                  <w:tcMar>
                    <w:top w:w="15" w:type="dxa"/>
                    <w:left w:w="15" w:type="dxa"/>
                    <w:right w:w="15" w:type="dxa"/>
                  </w:tcMar>
                  <w:vAlign w:val="center"/>
                </w:tcPr>
                <w:p>
                  <w:pPr>
                    <w:tabs>
                      <w:tab w:val="left" w:pos="417"/>
                      <w:tab w:val="left" w:pos="3615"/>
                    </w:tabs>
                    <w:jc w:val="center"/>
                    <w:rPr>
                      <w:sz w:val="20"/>
                    </w:rPr>
                  </w:pPr>
                  <w:r>
                    <w:rPr>
                      <w:sz w:val="20"/>
                    </w:rPr>
                    <w:t>18</w:t>
                  </w:r>
                </w:p>
              </w:tc>
              <w:tc>
                <w:tcPr>
                  <w:tcW w:w="425" w:type="dxa"/>
                  <w:tcMar>
                    <w:top w:w="15" w:type="dxa"/>
                    <w:left w:w="15" w:type="dxa"/>
                    <w:right w:w="15" w:type="dxa"/>
                  </w:tcMar>
                  <w:vAlign w:val="center"/>
                </w:tcPr>
                <w:p>
                  <w:pPr>
                    <w:tabs>
                      <w:tab w:val="left" w:pos="417"/>
                      <w:tab w:val="left" w:pos="3615"/>
                    </w:tabs>
                    <w:jc w:val="center"/>
                    <w:rPr>
                      <w:sz w:val="20"/>
                    </w:rPr>
                  </w:pPr>
                  <w:r>
                    <w:rPr>
                      <w:sz w:val="20"/>
                    </w:rPr>
                    <w:t>6</w:t>
                  </w:r>
                </w:p>
              </w:tc>
              <w:tc>
                <w:tcPr>
                  <w:tcW w:w="463" w:type="dxa"/>
                  <w:tcMar>
                    <w:top w:w="15" w:type="dxa"/>
                    <w:left w:w="15" w:type="dxa"/>
                    <w:right w:w="15" w:type="dxa"/>
                  </w:tcMar>
                  <w:vAlign w:val="center"/>
                </w:tcPr>
                <w:p>
                  <w:pPr>
                    <w:tabs>
                      <w:tab w:val="left" w:pos="417"/>
                      <w:tab w:val="left" w:pos="3615"/>
                    </w:tabs>
                    <w:jc w:val="center"/>
                    <w:rPr>
                      <w:sz w:val="20"/>
                    </w:rPr>
                  </w:pPr>
                  <w:r>
                    <w:rPr>
                      <w:sz w:val="20"/>
                    </w:rPr>
                    <w:t>21</w:t>
                  </w:r>
                </w:p>
              </w:tc>
              <w:tc>
                <w:tcPr>
                  <w:tcW w:w="475" w:type="dxa"/>
                  <w:tcMar>
                    <w:top w:w="15" w:type="dxa"/>
                    <w:left w:w="15" w:type="dxa"/>
                    <w:right w:w="15" w:type="dxa"/>
                  </w:tcMar>
                  <w:vAlign w:val="center"/>
                </w:tcPr>
                <w:p>
                  <w:pPr>
                    <w:tabs>
                      <w:tab w:val="left" w:pos="417"/>
                      <w:tab w:val="left" w:pos="3615"/>
                    </w:tabs>
                    <w:jc w:val="center"/>
                    <w:rPr>
                      <w:sz w:val="20"/>
                    </w:rPr>
                  </w:pPr>
                  <w:r>
                    <w:rPr>
                      <w:sz w:val="20"/>
                    </w:rPr>
                    <w:t>84</w:t>
                  </w:r>
                </w:p>
              </w:tc>
              <w:tc>
                <w:tcPr>
                  <w:tcW w:w="575" w:type="dxa"/>
                  <w:tcMar>
                    <w:top w:w="15" w:type="dxa"/>
                    <w:left w:w="15" w:type="dxa"/>
                    <w:right w:w="15" w:type="dxa"/>
                  </w:tcMar>
                  <w:vAlign w:val="center"/>
                </w:tcPr>
                <w:p>
                  <w:pPr>
                    <w:tabs>
                      <w:tab w:val="left" w:pos="417"/>
                      <w:tab w:val="left" w:pos="3615"/>
                    </w:tabs>
                    <w:jc w:val="center"/>
                    <w:rPr>
                      <w:sz w:val="20"/>
                    </w:rPr>
                  </w:pPr>
                  <w:r>
                    <w:rPr>
                      <w:sz w:val="20"/>
                    </w:rPr>
                    <w:t>37</w:t>
                  </w:r>
                </w:p>
              </w:tc>
              <w:tc>
                <w:tcPr>
                  <w:tcW w:w="492" w:type="dxa"/>
                  <w:tcMar>
                    <w:top w:w="15" w:type="dxa"/>
                    <w:left w:w="15" w:type="dxa"/>
                    <w:right w:w="15" w:type="dxa"/>
                  </w:tcMar>
                  <w:vAlign w:val="center"/>
                </w:tcPr>
                <w:p>
                  <w:pPr>
                    <w:tabs>
                      <w:tab w:val="left" w:pos="417"/>
                      <w:tab w:val="left" w:pos="3615"/>
                    </w:tabs>
                    <w:jc w:val="center"/>
                    <w:rPr>
                      <w:sz w:val="20"/>
                    </w:rPr>
                  </w:pPr>
                  <w:r>
                    <w:rPr>
                      <w:sz w:val="20"/>
                    </w:rPr>
                    <w:t>4189</w:t>
                  </w:r>
                </w:p>
              </w:tc>
              <w:tc>
                <w:tcPr>
                  <w:tcW w:w="474" w:type="dxa"/>
                  <w:tcMar>
                    <w:top w:w="15" w:type="dxa"/>
                    <w:left w:w="15" w:type="dxa"/>
                    <w:right w:w="15" w:type="dxa"/>
                  </w:tcMar>
                  <w:vAlign w:val="center"/>
                </w:tcPr>
                <w:p>
                  <w:pPr>
                    <w:tabs>
                      <w:tab w:val="left" w:pos="417"/>
                      <w:tab w:val="left" w:pos="3615"/>
                    </w:tabs>
                    <w:jc w:val="center"/>
                    <w:rPr>
                      <w:sz w:val="20"/>
                    </w:rPr>
                  </w:pPr>
                  <w:r>
                    <w:rPr>
                      <w:sz w:val="20"/>
                    </w:rPr>
                    <w:t>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回果村</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119</w:t>
                  </w:r>
                </w:p>
              </w:tc>
              <w:tc>
                <w:tcPr>
                  <w:tcW w:w="413" w:type="dxa"/>
                  <w:tcMar>
                    <w:top w:w="15" w:type="dxa"/>
                    <w:left w:w="15" w:type="dxa"/>
                    <w:right w:w="15" w:type="dxa"/>
                  </w:tcMar>
                  <w:vAlign w:val="center"/>
                </w:tcPr>
                <w:p>
                  <w:pPr>
                    <w:tabs>
                      <w:tab w:val="left" w:pos="417"/>
                      <w:tab w:val="left" w:pos="3615"/>
                    </w:tabs>
                    <w:jc w:val="center"/>
                    <w:rPr>
                      <w:sz w:val="20"/>
                    </w:rPr>
                  </w:pPr>
                  <w:r>
                    <w:rPr>
                      <w:sz w:val="20"/>
                    </w:rPr>
                    <w:t>119</w:t>
                  </w:r>
                </w:p>
              </w:tc>
              <w:tc>
                <w:tcPr>
                  <w:tcW w:w="450" w:type="dxa"/>
                  <w:tcMar>
                    <w:top w:w="15" w:type="dxa"/>
                    <w:left w:w="15" w:type="dxa"/>
                    <w:right w:w="15" w:type="dxa"/>
                  </w:tcMar>
                  <w:vAlign w:val="center"/>
                </w:tcPr>
                <w:p>
                  <w:pPr>
                    <w:tabs>
                      <w:tab w:val="left" w:pos="417"/>
                      <w:tab w:val="left" w:pos="3615"/>
                    </w:tabs>
                    <w:jc w:val="center"/>
                    <w:rPr>
                      <w:sz w:val="20"/>
                    </w:rPr>
                  </w:pPr>
                  <w:r>
                    <w:rPr>
                      <w:sz w:val="20"/>
                    </w:rPr>
                    <w:t>285</w:t>
                  </w:r>
                </w:p>
              </w:tc>
              <w:tc>
                <w:tcPr>
                  <w:tcW w:w="387" w:type="dxa"/>
                  <w:tcMar>
                    <w:top w:w="15" w:type="dxa"/>
                    <w:left w:w="15" w:type="dxa"/>
                    <w:right w:w="15" w:type="dxa"/>
                  </w:tcMar>
                  <w:vAlign w:val="center"/>
                </w:tcPr>
                <w:p>
                  <w:pPr>
                    <w:tabs>
                      <w:tab w:val="left" w:pos="417"/>
                      <w:tab w:val="left" w:pos="3615"/>
                    </w:tabs>
                    <w:jc w:val="center"/>
                    <w:rPr>
                      <w:sz w:val="20"/>
                    </w:rPr>
                  </w:pPr>
                  <w:r>
                    <w:rPr>
                      <w:sz w:val="20"/>
                    </w:rPr>
                    <w:t>95</w:t>
                  </w:r>
                </w:p>
              </w:tc>
              <w:tc>
                <w:tcPr>
                  <w:tcW w:w="538" w:type="dxa"/>
                  <w:tcMar>
                    <w:top w:w="15" w:type="dxa"/>
                    <w:left w:w="15" w:type="dxa"/>
                    <w:right w:w="15" w:type="dxa"/>
                  </w:tcMar>
                  <w:vAlign w:val="center"/>
                </w:tcPr>
                <w:p>
                  <w:pPr>
                    <w:tabs>
                      <w:tab w:val="left" w:pos="417"/>
                      <w:tab w:val="left" w:pos="3615"/>
                    </w:tabs>
                    <w:jc w:val="center"/>
                    <w:rPr>
                      <w:sz w:val="20"/>
                    </w:rPr>
                  </w:pPr>
                  <w:r>
                    <w:rPr>
                      <w:sz w:val="20"/>
                    </w:rPr>
                    <w:t>713</w:t>
                  </w:r>
                </w:p>
              </w:tc>
              <w:tc>
                <w:tcPr>
                  <w:tcW w:w="475" w:type="dxa"/>
                  <w:tcMar>
                    <w:top w:w="15" w:type="dxa"/>
                    <w:left w:w="15" w:type="dxa"/>
                    <w:right w:w="15" w:type="dxa"/>
                  </w:tcMar>
                  <w:vAlign w:val="center"/>
                </w:tcPr>
                <w:p>
                  <w:pPr>
                    <w:tabs>
                      <w:tab w:val="left" w:pos="417"/>
                      <w:tab w:val="left" w:pos="3615"/>
                    </w:tabs>
                    <w:jc w:val="center"/>
                    <w:rPr>
                      <w:sz w:val="20"/>
                    </w:rPr>
                  </w:pPr>
                  <w:r>
                    <w:rPr>
                      <w:sz w:val="20"/>
                    </w:rPr>
                    <w:t>238</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10</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11</w:t>
                  </w:r>
                </w:p>
              </w:tc>
              <w:tc>
                <w:tcPr>
                  <w:tcW w:w="475" w:type="dxa"/>
                  <w:tcMar>
                    <w:top w:w="15" w:type="dxa"/>
                    <w:left w:w="15" w:type="dxa"/>
                    <w:right w:w="15" w:type="dxa"/>
                  </w:tcMar>
                  <w:vAlign w:val="center"/>
                </w:tcPr>
                <w:p>
                  <w:pPr>
                    <w:tabs>
                      <w:tab w:val="left" w:pos="417"/>
                      <w:tab w:val="left" w:pos="3615"/>
                    </w:tabs>
                    <w:jc w:val="center"/>
                    <w:rPr>
                      <w:sz w:val="20"/>
                    </w:rPr>
                  </w:pPr>
                  <w:r>
                    <w:rPr>
                      <w:sz w:val="20"/>
                    </w:rPr>
                    <w:t>44</w:t>
                  </w:r>
                </w:p>
              </w:tc>
              <w:tc>
                <w:tcPr>
                  <w:tcW w:w="575" w:type="dxa"/>
                  <w:tcMar>
                    <w:top w:w="15" w:type="dxa"/>
                    <w:left w:w="15" w:type="dxa"/>
                    <w:right w:w="15" w:type="dxa"/>
                  </w:tcMar>
                  <w:vAlign w:val="center"/>
                </w:tcPr>
                <w:p>
                  <w:pPr>
                    <w:tabs>
                      <w:tab w:val="left" w:pos="417"/>
                      <w:tab w:val="left" w:pos="3615"/>
                    </w:tabs>
                    <w:jc w:val="center"/>
                    <w:rPr>
                      <w:sz w:val="20"/>
                    </w:rPr>
                  </w:pPr>
                  <w:r>
                    <w:rPr>
                      <w:sz w:val="20"/>
                    </w:rPr>
                    <w:t>19</w:t>
                  </w:r>
                </w:p>
              </w:tc>
              <w:tc>
                <w:tcPr>
                  <w:tcW w:w="492" w:type="dxa"/>
                  <w:tcMar>
                    <w:top w:w="15" w:type="dxa"/>
                    <w:left w:w="15" w:type="dxa"/>
                    <w:right w:w="15" w:type="dxa"/>
                  </w:tcMar>
                  <w:vAlign w:val="center"/>
                </w:tcPr>
                <w:p>
                  <w:pPr>
                    <w:tabs>
                      <w:tab w:val="left" w:pos="417"/>
                      <w:tab w:val="left" w:pos="3615"/>
                    </w:tabs>
                    <w:jc w:val="center"/>
                    <w:rPr>
                      <w:sz w:val="20"/>
                    </w:rPr>
                  </w:pPr>
                  <w:r>
                    <w:rPr>
                      <w:sz w:val="20"/>
                    </w:rPr>
                    <w:t>2197</w:t>
                  </w:r>
                </w:p>
              </w:tc>
              <w:tc>
                <w:tcPr>
                  <w:tcW w:w="474" w:type="dxa"/>
                  <w:tcMar>
                    <w:top w:w="15" w:type="dxa"/>
                    <w:left w:w="15" w:type="dxa"/>
                    <w:right w:w="15" w:type="dxa"/>
                  </w:tcMar>
                  <w:vAlign w:val="center"/>
                </w:tcPr>
                <w:p>
                  <w:pPr>
                    <w:tabs>
                      <w:tab w:val="left" w:pos="417"/>
                      <w:tab w:val="left" w:pos="3615"/>
                    </w:tabs>
                    <w:jc w:val="center"/>
                    <w:rPr>
                      <w:sz w:val="20"/>
                    </w:rPr>
                  </w:pPr>
                  <w:r>
                    <w:rPr>
                      <w:sz w:val="20"/>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永兴</w:t>
                  </w:r>
                </w:p>
              </w:tc>
              <w:tc>
                <w:tcPr>
                  <w:tcW w:w="662" w:type="dxa"/>
                  <w:tcMar>
                    <w:top w:w="15" w:type="dxa"/>
                    <w:left w:w="15" w:type="dxa"/>
                    <w:right w:w="15" w:type="dxa"/>
                  </w:tcMar>
                  <w:vAlign w:val="center"/>
                </w:tcPr>
                <w:p>
                  <w:pPr>
                    <w:tabs>
                      <w:tab w:val="left" w:pos="417"/>
                      <w:tab w:val="left" w:pos="3615"/>
                    </w:tabs>
                    <w:jc w:val="center"/>
                    <w:rPr>
                      <w:sz w:val="20"/>
                    </w:rPr>
                  </w:pPr>
                  <w:r>
                    <w:rPr>
                      <w:sz w:val="20"/>
                    </w:rPr>
                    <w:t>永兴村</w:t>
                  </w:r>
                </w:p>
              </w:tc>
              <w:tc>
                <w:tcPr>
                  <w:tcW w:w="425" w:type="dxa"/>
                  <w:tcMar>
                    <w:top w:w="15" w:type="dxa"/>
                    <w:left w:w="15" w:type="dxa"/>
                    <w:right w:w="15" w:type="dxa"/>
                  </w:tcMar>
                  <w:vAlign w:val="center"/>
                </w:tcPr>
                <w:p>
                  <w:pPr>
                    <w:tabs>
                      <w:tab w:val="left" w:pos="417"/>
                      <w:tab w:val="left" w:pos="3615"/>
                    </w:tabs>
                    <w:jc w:val="center"/>
                    <w:rPr>
                      <w:sz w:val="20"/>
                    </w:rPr>
                  </w:pPr>
                  <w:r>
                    <w:rPr>
                      <w:sz w:val="20"/>
                    </w:rPr>
                    <w:t>188</w:t>
                  </w:r>
                </w:p>
              </w:tc>
              <w:tc>
                <w:tcPr>
                  <w:tcW w:w="425" w:type="dxa"/>
                  <w:tcMar>
                    <w:top w:w="15" w:type="dxa"/>
                    <w:left w:w="15" w:type="dxa"/>
                    <w:right w:w="15" w:type="dxa"/>
                  </w:tcMar>
                  <w:vAlign w:val="center"/>
                </w:tcPr>
                <w:p>
                  <w:pPr>
                    <w:tabs>
                      <w:tab w:val="left" w:pos="417"/>
                      <w:tab w:val="left" w:pos="3615"/>
                    </w:tabs>
                    <w:jc w:val="center"/>
                    <w:rPr>
                      <w:sz w:val="20"/>
                    </w:rPr>
                  </w:pPr>
                  <w:r>
                    <w:rPr>
                      <w:sz w:val="20"/>
                    </w:rPr>
                    <w:t>188</w:t>
                  </w:r>
                </w:p>
              </w:tc>
              <w:tc>
                <w:tcPr>
                  <w:tcW w:w="425" w:type="dxa"/>
                  <w:tcMar>
                    <w:top w:w="15" w:type="dxa"/>
                    <w:left w:w="15" w:type="dxa"/>
                    <w:right w:w="15" w:type="dxa"/>
                  </w:tcMar>
                  <w:vAlign w:val="center"/>
                </w:tcPr>
                <w:p>
                  <w:pPr>
                    <w:tabs>
                      <w:tab w:val="left" w:pos="417"/>
                      <w:tab w:val="left" w:pos="3615"/>
                    </w:tabs>
                    <w:jc w:val="center"/>
                    <w:rPr>
                      <w:sz w:val="20"/>
                    </w:rPr>
                  </w:pPr>
                  <w:r>
                    <w:rPr>
                      <w:sz w:val="20"/>
                    </w:rPr>
                    <w:t>471</w:t>
                  </w:r>
                </w:p>
              </w:tc>
              <w:tc>
                <w:tcPr>
                  <w:tcW w:w="413" w:type="dxa"/>
                  <w:tcMar>
                    <w:top w:w="15" w:type="dxa"/>
                    <w:left w:w="15" w:type="dxa"/>
                    <w:right w:w="15" w:type="dxa"/>
                  </w:tcMar>
                  <w:vAlign w:val="center"/>
                </w:tcPr>
                <w:p>
                  <w:pPr>
                    <w:tabs>
                      <w:tab w:val="left" w:pos="417"/>
                      <w:tab w:val="left" w:pos="3615"/>
                    </w:tabs>
                    <w:jc w:val="center"/>
                    <w:rPr>
                      <w:sz w:val="20"/>
                    </w:rPr>
                  </w:pPr>
                  <w:r>
                    <w:rPr>
                      <w:sz w:val="20"/>
                    </w:rPr>
                    <w:t>471</w:t>
                  </w:r>
                </w:p>
              </w:tc>
              <w:tc>
                <w:tcPr>
                  <w:tcW w:w="450" w:type="dxa"/>
                  <w:tcMar>
                    <w:top w:w="15" w:type="dxa"/>
                    <w:left w:w="15" w:type="dxa"/>
                    <w:right w:w="15" w:type="dxa"/>
                  </w:tcMar>
                  <w:vAlign w:val="center"/>
                </w:tcPr>
                <w:p>
                  <w:pPr>
                    <w:tabs>
                      <w:tab w:val="left" w:pos="417"/>
                      <w:tab w:val="left" w:pos="3615"/>
                    </w:tabs>
                    <w:jc w:val="center"/>
                    <w:rPr>
                      <w:sz w:val="20"/>
                    </w:rPr>
                  </w:pPr>
                  <w:r>
                    <w:rPr>
                      <w:sz w:val="20"/>
                    </w:rPr>
                    <w:t>1130</w:t>
                  </w:r>
                </w:p>
              </w:tc>
              <w:tc>
                <w:tcPr>
                  <w:tcW w:w="387" w:type="dxa"/>
                  <w:tcMar>
                    <w:top w:w="15" w:type="dxa"/>
                    <w:left w:w="15" w:type="dxa"/>
                    <w:right w:w="15" w:type="dxa"/>
                  </w:tcMar>
                  <w:vAlign w:val="center"/>
                </w:tcPr>
                <w:p>
                  <w:pPr>
                    <w:tabs>
                      <w:tab w:val="left" w:pos="417"/>
                      <w:tab w:val="left" w:pos="3615"/>
                    </w:tabs>
                    <w:jc w:val="center"/>
                    <w:rPr>
                      <w:sz w:val="20"/>
                    </w:rPr>
                  </w:pPr>
                  <w:r>
                    <w:rPr>
                      <w:sz w:val="20"/>
                    </w:rPr>
                    <w:t>377</w:t>
                  </w:r>
                </w:p>
              </w:tc>
              <w:tc>
                <w:tcPr>
                  <w:tcW w:w="538" w:type="dxa"/>
                  <w:tcMar>
                    <w:top w:w="15" w:type="dxa"/>
                    <w:left w:w="15" w:type="dxa"/>
                    <w:right w:w="15" w:type="dxa"/>
                  </w:tcMar>
                  <w:vAlign w:val="center"/>
                </w:tcPr>
                <w:p>
                  <w:pPr>
                    <w:tabs>
                      <w:tab w:val="left" w:pos="417"/>
                      <w:tab w:val="left" w:pos="3615"/>
                    </w:tabs>
                    <w:jc w:val="center"/>
                    <w:rPr>
                      <w:sz w:val="20"/>
                    </w:rPr>
                  </w:pPr>
                  <w:r>
                    <w:rPr>
                      <w:sz w:val="20"/>
                    </w:rPr>
                    <w:t>2824</w:t>
                  </w:r>
                </w:p>
              </w:tc>
              <w:tc>
                <w:tcPr>
                  <w:tcW w:w="475" w:type="dxa"/>
                  <w:tcMar>
                    <w:top w:w="15" w:type="dxa"/>
                    <w:left w:w="15" w:type="dxa"/>
                    <w:right w:w="15" w:type="dxa"/>
                  </w:tcMar>
                  <w:vAlign w:val="center"/>
                </w:tcPr>
                <w:p>
                  <w:pPr>
                    <w:tabs>
                      <w:tab w:val="left" w:pos="417"/>
                      <w:tab w:val="left" w:pos="3615"/>
                    </w:tabs>
                    <w:jc w:val="center"/>
                    <w:rPr>
                      <w:sz w:val="20"/>
                    </w:rPr>
                  </w:pPr>
                  <w:r>
                    <w:rPr>
                      <w:sz w:val="20"/>
                    </w:rPr>
                    <w:t>941</w:t>
                  </w:r>
                </w:p>
              </w:tc>
              <w:tc>
                <w:tcPr>
                  <w:tcW w:w="437"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38</w:t>
                  </w:r>
                </w:p>
              </w:tc>
              <w:tc>
                <w:tcPr>
                  <w:tcW w:w="425" w:type="dxa"/>
                  <w:tcMar>
                    <w:top w:w="15" w:type="dxa"/>
                    <w:left w:w="15" w:type="dxa"/>
                    <w:right w:w="15" w:type="dxa"/>
                  </w:tcMar>
                  <w:vAlign w:val="center"/>
                </w:tcPr>
                <w:p>
                  <w:pPr>
                    <w:tabs>
                      <w:tab w:val="left" w:pos="417"/>
                      <w:tab w:val="left" w:pos="3615"/>
                    </w:tabs>
                    <w:jc w:val="center"/>
                    <w:rPr>
                      <w:sz w:val="20"/>
                    </w:rPr>
                  </w:pPr>
                  <w:r>
                    <w:rPr>
                      <w:sz w:val="20"/>
                    </w:rPr>
                    <w:t>13</w:t>
                  </w:r>
                </w:p>
              </w:tc>
              <w:tc>
                <w:tcPr>
                  <w:tcW w:w="463" w:type="dxa"/>
                  <w:tcMar>
                    <w:top w:w="15" w:type="dxa"/>
                    <w:left w:w="15" w:type="dxa"/>
                    <w:right w:w="15" w:type="dxa"/>
                  </w:tcMar>
                  <w:vAlign w:val="center"/>
                </w:tcPr>
                <w:p>
                  <w:pPr>
                    <w:tabs>
                      <w:tab w:val="left" w:pos="417"/>
                      <w:tab w:val="left" w:pos="3615"/>
                    </w:tabs>
                    <w:jc w:val="center"/>
                    <w:rPr>
                      <w:sz w:val="20"/>
                    </w:rPr>
                  </w:pPr>
                  <w:r>
                    <w:rPr>
                      <w:sz w:val="20"/>
                    </w:rPr>
                    <w:t>44</w:t>
                  </w:r>
                </w:p>
              </w:tc>
              <w:tc>
                <w:tcPr>
                  <w:tcW w:w="475" w:type="dxa"/>
                  <w:tcMar>
                    <w:top w:w="15" w:type="dxa"/>
                    <w:left w:w="15" w:type="dxa"/>
                    <w:right w:w="15" w:type="dxa"/>
                  </w:tcMar>
                  <w:vAlign w:val="center"/>
                </w:tcPr>
                <w:p>
                  <w:pPr>
                    <w:tabs>
                      <w:tab w:val="left" w:pos="417"/>
                      <w:tab w:val="left" w:pos="3615"/>
                    </w:tabs>
                    <w:jc w:val="center"/>
                    <w:rPr>
                      <w:sz w:val="20"/>
                    </w:rPr>
                  </w:pPr>
                  <w:r>
                    <w:rPr>
                      <w:sz w:val="20"/>
                    </w:rPr>
                    <w:t>174</w:t>
                  </w:r>
                </w:p>
              </w:tc>
              <w:tc>
                <w:tcPr>
                  <w:tcW w:w="575" w:type="dxa"/>
                  <w:tcMar>
                    <w:top w:w="15" w:type="dxa"/>
                    <w:left w:w="15" w:type="dxa"/>
                    <w:right w:w="15" w:type="dxa"/>
                  </w:tcMar>
                  <w:vAlign w:val="center"/>
                </w:tcPr>
                <w:p>
                  <w:pPr>
                    <w:tabs>
                      <w:tab w:val="left" w:pos="417"/>
                      <w:tab w:val="left" w:pos="3615"/>
                    </w:tabs>
                    <w:jc w:val="center"/>
                    <w:rPr>
                      <w:sz w:val="20"/>
                    </w:rPr>
                  </w:pPr>
                  <w:r>
                    <w:rPr>
                      <w:sz w:val="20"/>
                    </w:rPr>
                    <w:t>76</w:t>
                  </w:r>
                </w:p>
              </w:tc>
              <w:tc>
                <w:tcPr>
                  <w:tcW w:w="492" w:type="dxa"/>
                  <w:tcMar>
                    <w:top w:w="15" w:type="dxa"/>
                    <w:left w:w="15" w:type="dxa"/>
                    <w:right w:w="15" w:type="dxa"/>
                  </w:tcMar>
                  <w:vAlign w:val="center"/>
                </w:tcPr>
                <w:p>
                  <w:pPr>
                    <w:tabs>
                      <w:tab w:val="left" w:pos="417"/>
                      <w:tab w:val="left" w:pos="3615"/>
                    </w:tabs>
                    <w:jc w:val="center"/>
                    <w:rPr>
                      <w:sz w:val="20"/>
                    </w:rPr>
                  </w:pPr>
                  <w:r>
                    <w:rPr>
                      <w:sz w:val="20"/>
                    </w:rPr>
                    <w:t>8707</w:t>
                  </w:r>
                </w:p>
              </w:tc>
              <w:tc>
                <w:tcPr>
                  <w:tcW w:w="474" w:type="dxa"/>
                  <w:tcMar>
                    <w:top w:w="15" w:type="dxa"/>
                    <w:left w:w="15" w:type="dxa"/>
                    <w:right w:w="15" w:type="dxa"/>
                  </w:tcMar>
                  <w:vAlign w:val="center"/>
                </w:tcPr>
                <w:p>
                  <w:pPr>
                    <w:tabs>
                      <w:tab w:val="left" w:pos="417"/>
                      <w:tab w:val="left" w:pos="3615"/>
                    </w:tabs>
                    <w:jc w:val="center"/>
                    <w:rPr>
                      <w:sz w:val="20"/>
                    </w:rPr>
                  </w:pPr>
                  <w:r>
                    <w:rPr>
                      <w:sz w:val="20"/>
                    </w:rPr>
                    <w:t>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海口村</w:t>
                  </w:r>
                </w:p>
              </w:tc>
              <w:tc>
                <w:tcPr>
                  <w:tcW w:w="425" w:type="dxa"/>
                  <w:tcMar>
                    <w:top w:w="15" w:type="dxa"/>
                    <w:left w:w="15" w:type="dxa"/>
                    <w:right w:w="15" w:type="dxa"/>
                  </w:tcMar>
                  <w:vAlign w:val="center"/>
                </w:tcPr>
                <w:p>
                  <w:pPr>
                    <w:tabs>
                      <w:tab w:val="left" w:pos="417"/>
                      <w:tab w:val="left" w:pos="3615"/>
                    </w:tabs>
                    <w:jc w:val="center"/>
                    <w:rPr>
                      <w:sz w:val="20"/>
                    </w:rPr>
                  </w:pPr>
                  <w:r>
                    <w:rPr>
                      <w:sz w:val="20"/>
                    </w:rPr>
                    <w:t>131</w:t>
                  </w:r>
                </w:p>
              </w:tc>
              <w:tc>
                <w:tcPr>
                  <w:tcW w:w="425" w:type="dxa"/>
                  <w:tcMar>
                    <w:top w:w="15" w:type="dxa"/>
                    <w:left w:w="15" w:type="dxa"/>
                    <w:right w:w="15" w:type="dxa"/>
                  </w:tcMar>
                  <w:vAlign w:val="center"/>
                </w:tcPr>
                <w:p>
                  <w:pPr>
                    <w:tabs>
                      <w:tab w:val="left" w:pos="417"/>
                      <w:tab w:val="left" w:pos="3615"/>
                    </w:tabs>
                    <w:jc w:val="center"/>
                    <w:rPr>
                      <w:sz w:val="20"/>
                    </w:rPr>
                  </w:pPr>
                  <w:r>
                    <w:rPr>
                      <w:sz w:val="20"/>
                    </w:rPr>
                    <w:t>131</w:t>
                  </w:r>
                </w:p>
              </w:tc>
              <w:tc>
                <w:tcPr>
                  <w:tcW w:w="425" w:type="dxa"/>
                  <w:tcMar>
                    <w:top w:w="15" w:type="dxa"/>
                    <w:left w:w="15" w:type="dxa"/>
                    <w:right w:w="15" w:type="dxa"/>
                  </w:tcMar>
                  <w:vAlign w:val="center"/>
                </w:tcPr>
                <w:p>
                  <w:pPr>
                    <w:tabs>
                      <w:tab w:val="left" w:pos="417"/>
                      <w:tab w:val="left" w:pos="3615"/>
                    </w:tabs>
                    <w:jc w:val="center"/>
                    <w:rPr>
                      <w:sz w:val="20"/>
                    </w:rPr>
                  </w:pPr>
                  <w:r>
                    <w:rPr>
                      <w:sz w:val="20"/>
                    </w:rPr>
                    <w:t>326</w:t>
                  </w:r>
                </w:p>
              </w:tc>
              <w:tc>
                <w:tcPr>
                  <w:tcW w:w="413" w:type="dxa"/>
                  <w:tcMar>
                    <w:top w:w="15" w:type="dxa"/>
                    <w:left w:w="15" w:type="dxa"/>
                    <w:right w:w="15" w:type="dxa"/>
                  </w:tcMar>
                  <w:vAlign w:val="center"/>
                </w:tcPr>
                <w:p>
                  <w:pPr>
                    <w:tabs>
                      <w:tab w:val="left" w:pos="417"/>
                      <w:tab w:val="left" w:pos="3615"/>
                    </w:tabs>
                    <w:jc w:val="center"/>
                    <w:rPr>
                      <w:sz w:val="20"/>
                    </w:rPr>
                  </w:pPr>
                  <w:r>
                    <w:rPr>
                      <w:sz w:val="20"/>
                    </w:rPr>
                    <w:t>326</w:t>
                  </w:r>
                </w:p>
              </w:tc>
              <w:tc>
                <w:tcPr>
                  <w:tcW w:w="450" w:type="dxa"/>
                  <w:tcMar>
                    <w:top w:w="15" w:type="dxa"/>
                    <w:left w:w="15" w:type="dxa"/>
                    <w:right w:w="15" w:type="dxa"/>
                  </w:tcMar>
                  <w:vAlign w:val="center"/>
                </w:tcPr>
                <w:p>
                  <w:pPr>
                    <w:tabs>
                      <w:tab w:val="left" w:pos="417"/>
                      <w:tab w:val="left" w:pos="3615"/>
                    </w:tabs>
                    <w:jc w:val="center"/>
                    <w:rPr>
                      <w:sz w:val="20"/>
                    </w:rPr>
                  </w:pPr>
                  <w:r>
                    <w:rPr>
                      <w:sz w:val="20"/>
                    </w:rPr>
                    <w:t>784</w:t>
                  </w:r>
                </w:p>
              </w:tc>
              <w:tc>
                <w:tcPr>
                  <w:tcW w:w="387" w:type="dxa"/>
                  <w:tcMar>
                    <w:top w:w="15" w:type="dxa"/>
                    <w:left w:w="15" w:type="dxa"/>
                    <w:right w:w="15" w:type="dxa"/>
                  </w:tcMar>
                  <w:vAlign w:val="center"/>
                </w:tcPr>
                <w:p>
                  <w:pPr>
                    <w:tabs>
                      <w:tab w:val="left" w:pos="417"/>
                      <w:tab w:val="left" w:pos="3615"/>
                    </w:tabs>
                    <w:jc w:val="center"/>
                    <w:rPr>
                      <w:sz w:val="20"/>
                    </w:rPr>
                  </w:pPr>
                  <w:r>
                    <w:rPr>
                      <w:sz w:val="20"/>
                    </w:rPr>
                    <w:t>261</w:t>
                  </w:r>
                </w:p>
              </w:tc>
              <w:tc>
                <w:tcPr>
                  <w:tcW w:w="538" w:type="dxa"/>
                  <w:tcMar>
                    <w:top w:w="15" w:type="dxa"/>
                    <w:left w:w="15" w:type="dxa"/>
                    <w:right w:w="15" w:type="dxa"/>
                  </w:tcMar>
                  <w:vAlign w:val="center"/>
                </w:tcPr>
                <w:p>
                  <w:pPr>
                    <w:tabs>
                      <w:tab w:val="left" w:pos="417"/>
                      <w:tab w:val="left" w:pos="3615"/>
                    </w:tabs>
                    <w:jc w:val="center"/>
                    <w:rPr>
                      <w:sz w:val="20"/>
                    </w:rPr>
                  </w:pPr>
                  <w:r>
                    <w:rPr>
                      <w:sz w:val="20"/>
                    </w:rPr>
                    <w:t>1959</w:t>
                  </w:r>
                </w:p>
              </w:tc>
              <w:tc>
                <w:tcPr>
                  <w:tcW w:w="475" w:type="dxa"/>
                  <w:tcMar>
                    <w:top w:w="15" w:type="dxa"/>
                    <w:left w:w="15" w:type="dxa"/>
                    <w:right w:w="15" w:type="dxa"/>
                  </w:tcMar>
                  <w:vAlign w:val="center"/>
                </w:tcPr>
                <w:p>
                  <w:pPr>
                    <w:tabs>
                      <w:tab w:val="left" w:pos="417"/>
                      <w:tab w:val="left" w:pos="3615"/>
                    </w:tabs>
                    <w:jc w:val="center"/>
                    <w:rPr>
                      <w:sz w:val="20"/>
                    </w:rPr>
                  </w:pPr>
                  <w:r>
                    <w:rPr>
                      <w:sz w:val="20"/>
                    </w:rPr>
                    <w:t>653</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26</w:t>
                  </w:r>
                </w:p>
              </w:tc>
              <w:tc>
                <w:tcPr>
                  <w:tcW w:w="425" w:type="dxa"/>
                  <w:tcMar>
                    <w:top w:w="15" w:type="dxa"/>
                    <w:left w:w="15" w:type="dxa"/>
                    <w:right w:w="15" w:type="dxa"/>
                  </w:tcMar>
                  <w:vAlign w:val="center"/>
                </w:tcPr>
                <w:p>
                  <w:pPr>
                    <w:tabs>
                      <w:tab w:val="left" w:pos="417"/>
                      <w:tab w:val="left" w:pos="3615"/>
                    </w:tabs>
                    <w:jc w:val="center"/>
                    <w:rPr>
                      <w:sz w:val="20"/>
                    </w:rPr>
                  </w:pPr>
                  <w:r>
                    <w:rPr>
                      <w:sz w:val="20"/>
                    </w:rPr>
                    <w:t>9</w:t>
                  </w:r>
                </w:p>
              </w:tc>
              <w:tc>
                <w:tcPr>
                  <w:tcW w:w="463" w:type="dxa"/>
                  <w:tcMar>
                    <w:top w:w="15" w:type="dxa"/>
                    <w:left w:w="15" w:type="dxa"/>
                    <w:right w:w="15" w:type="dxa"/>
                  </w:tcMar>
                  <w:vAlign w:val="center"/>
                </w:tcPr>
                <w:p>
                  <w:pPr>
                    <w:tabs>
                      <w:tab w:val="left" w:pos="417"/>
                      <w:tab w:val="left" w:pos="3615"/>
                    </w:tabs>
                    <w:jc w:val="center"/>
                    <w:rPr>
                      <w:sz w:val="20"/>
                    </w:rPr>
                  </w:pPr>
                  <w:r>
                    <w:rPr>
                      <w:sz w:val="20"/>
                    </w:rPr>
                    <w:t>30</w:t>
                  </w:r>
                </w:p>
              </w:tc>
              <w:tc>
                <w:tcPr>
                  <w:tcW w:w="475" w:type="dxa"/>
                  <w:tcMar>
                    <w:top w:w="15" w:type="dxa"/>
                    <w:left w:w="15" w:type="dxa"/>
                    <w:right w:w="15" w:type="dxa"/>
                  </w:tcMar>
                  <w:vAlign w:val="center"/>
                </w:tcPr>
                <w:p>
                  <w:pPr>
                    <w:tabs>
                      <w:tab w:val="left" w:pos="417"/>
                      <w:tab w:val="left" w:pos="3615"/>
                    </w:tabs>
                    <w:jc w:val="center"/>
                    <w:rPr>
                      <w:sz w:val="20"/>
                    </w:rPr>
                  </w:pPr>
                  <w:r>
                    <w:rPr>
                      <w:sz w:val="20"/>
                    </w:rPr>
                    <w:t>121</w:t>
                  </w:r>
                </w:p>
              </w:tc>
              <w:tc>
                <w:tcPr>
                  <w:tcW w:w="575" w:type="dxa"/>
                  <w:tcMar>
                    <w:top w:w="15" w:type="dxa"/>
                    <w:left w:w="15" w:type="dxa"/>
                    <w:right w:w="15" w:type="dxa"/>
                  </w:tcMar>
                  <w:vAlign w:val="center"/>
                </w:tcPr>
                <w:p>
                  <w:pPr>
                    <w:tabs>
                      <w:tab w:val="left" w:pos="417"/>
                      <w:tab w:val="left" w:pos="3615"/>
                    </w:tabs>
                    <w:jc w:val="center"/>
                    <w:rPr>
                      <w:sz w:val="20"/>
                    </w:rPr>
                  </w:pPr>
                  <w:r>
                    <w:rPr>
                      <w:sz w:val="20"/>
                    </w:rPr>
                    <w:t>53</w:t>
                  </w:r>
                </w:p>
              </w:tc>
              <w:tc>
                <w:tcPr>
                  <w:tcW w:w="492" w:type="dxa"/>
                  <w:tcMar>
                    <w:top w:w="15" w:type="dxa"/>
                    <w:left w:w="15" w:type="dxa"/>
                    <w:right w:w="15" w:type="dxa"/>
                  </w:tcMar>
                  <w:vAlign w:val="center"/>
                </w:tcPr>
                <w:p>
                  <w:pPr>
                    <w:tabs>
                      <w:tab w:val="left" w:pos="417"/>
                      <w:tab w:val="left" w:pos="3615"/>
                    </w:tabs>
                    <w:jc w:val="center"/>
                    <w:rPr>
                      <w:sz w:val="20"/>
                    </w:rPr>
                  </w:pPr>
                  <w:r>
                    <w:rPr>
                      <w:sz w:val="20"/>
                    </w:rPr>
                    <w:t>6040</w:t>
                  </w:r>
                </w:p>
              </w:tc>
              <w:tc>
                <w:tcPr>
                  <w:tcW w:w="474" w:type="dxa"/>
                  <w:tcMar>
                    <w:top w:w="15" w:type="dxa"/>
                    <w:left w:w="15" w:type="dxa"/>
                    <w:right w:w="15" w:type="dxa"/>
                  </w:tcMar>
                  <w:vAlign w:val="center"/>
                </w:tcPr>
                <w:p>
                  <w:pPr>
                    <w:tabs>
                      <w:tab w:val="left" w:pos="417"/>
                      <w:tab w:val="left" w:pos="3615"/>
                    </w:tabs>
                    <w:jc w:val="center"/>
                    <w:rPr>
                      <w:sz w:val="20"/>
                    </w:rPr>
                  </w:pPr>
                  <w:r>
                    <w:rPr>
                      <w:sz w:val="20"/>
                    </w:rPr>
                    <w:t>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右所镇</w:t>
                  </w:r>
                </w:p>
              </w:tc>
              <w:tc>
                <w:tcPr>
                  <w:tcW w:w="329" w:type="dxa"/>
                  <w:tcMar>
                    <w:top w:w="15" w:type="dxa"/>
                    <w:left w:w="15" w:type="dxa"/>
                    <w:right w:w="15" w:type="dxa"/>
                  </w:tcMar>
                  <w:vAlign w:val="center"/>
                </w:tcPr>
                <w:p>
                  <w:pPr>
                    <w:tabs>
                      <w:tab w:val="left" w:pos="417"/>
                      <w:tab w:val="left" w:pos="3615"/>
                    </w:tabs>
                    <w:adjustRightInd w:val="0"/>
                    <w:snapToGrid w:val="0"/>
                    <w:jc w:val="center"/>
                    <w:rPr>
                      <w:sz w:val="20"/>
                    </w:rPr>
                  </w:pPr>
                  <w:r>
                    <w:rPr>
                      <w:sz w:val="20"/>
                    </w:rPr>
                    <w:t>三枚</w:t>
                  </w:r>
                </w:p>
              </w:tc>
              <w:tc>
                <w:tcPr>
                  <w:tcW w:w="662" w:type="dxa"/>
                  <w:tcMar>
                    <w:top w:w="15" w:type="dxa"/>
                    <w:left w:w="15" w:type="dxa"/>
                    <w:right w:w="15" w:type="dxa"/>
                  </w:tcMar>
                  <w:vAlign w:val="center"/>
                </w:tcPr>
                <w:p>
                  <w:pPr>
                    <w:tabs>
                      <w:tab w:val="left" w:pos="417"/>
                      <w:tab w:val="left" w:pos="3615"/>
                    </w:tabs>
                    <w:jc w:val="center"/>
                    <w:rPr>
                      <w:sz w:val="20"/>
                    </w:rPr>
                  </w:pPr>
                  <w:r>
                    <w:rPr>
                      <w:sz w:val="20"/>
                    </w:rPr>
                    <w:t>大旺</w:t>
                  </w:r>
                </w:p>
              </w:tc>
              <w:tc>
                <w:tcPr>
                  <w:tcW w:w="425" w:type="dxa"/>
                  <w:tcMar>
                    <w:top w:w="15" w:type="dxa"/>
                    <w:left w:w="15" w:type="dxa"/>
                    <w:right w:w="15" w:type="dxa"/>
                  </w:tcMar>
                  <w:vAlign w:val="center"/>
                </w:tcPr>
                <w:p>
                  <w:pPr>
                    <w:tabs>
                      <w:tab w:val="left" w:pos="417"/>
                      <w:tab w:val="left" w:pos="3615"/>
                    </w:tabs>
                    <w:jc w:val="center"/>
                    <w:rPr>
                      <w:sz w:val="20"/>
                    </w:rPr>
                  </w:pPr>
                  <w:r>
                    <w:rPr>
                      <w:sz w:val="20"/>
                    </w:rPr>
                    <w:t>39</w:t>
                  </w:r>
                </w:p>
              </w:tc>
              <w:tc>
                <w:tcPr>
                  <w:tcW w:w="425" w:type="dxa"/>
                  <w:tcMar>
                    <w:top w:w="15" w:type="dxa"/>
                    <w:left w:w="15" w:type="dxa"/>
                    <w:right w:w="15" w:type="dxa"/>
                  </w:tcMar>
                  <w:vAlign w:val="center"/>
                </w:tcPr>
                <w:p>
                  <w:pPr>
                    <w:tabs>
                      <w:tab w:val="left" w:pos="417"/>
                      <w:tab w:val="left" w:pos="3615"/>
                    </w:tabs>
                    <w:jc w:val="center"/>
                    <w:rPr>
                      <w:sz w:val="20"/>
                    </w:rPr>
                  </w:pPr>
                  <w:r>
                    <w:rPr>
                      <w:sz w:val="20"/>
                    </w:rPr>
                    <w:t>39</w:t>
                  </w:r>
                </w:p>
              </w:tc>
              <w:tc>
                <w:tcPr>
                  <w:tcW w:w="425" w:type="dxa"/>
                  <w:tcMar>
                    <w:top w:w="15" w:type="dxa"/>
                    <w:left w:w="15" w:type="dxa"/>
                    <w:right w:w="15" w:type="dxa"/>
                  </w:tcMar>
                  <w:vAlign w:val="center"/>
                </w:tcPr>
                <w:p>
                  <w:pPr>
                    <w:tabs>
                      <w:tab w:val="left" w:pos="417"/>
                      <w:tab w:val="left" w:pos="3615"/>
                    </w:tabs>
                    <w:jc w:val="center"/>
                    <w:rPr>
                      <w:sz w:val="20"/>
                    </w:rPr>
                  </w:pPr>
                  <w:r>
                    <w:rPr>
                      <w:sz w:val="20"/>
                    </w:rPr>
                    <w:t>99</w:t>
                  </w:r>
                </w:p>
              </w:tc>
              <w:tc>
                <w:tcPr>
                  <w:tcW w:w="413" w:type="dxa"/>
                  <w:tcMar>
                    <w:top w:w="15" w:type="dxa"/>
                    <w:left w:w="15" w:type="dxa"/>
                    <w:right w:w="15" w:type="dxa"/>
                  </w:tcMar>
                  <w:vAlign w:val="center"/>
                </w:tcPr>
                <w:p>
                  <w:pPr>
                    <w:tabs>
                      <w:tab w:val="left" w:pos="417"/>
                      <w:tab w:val="left" w:pos="3615"/>
                    </w:tabs>
                    <w:jc w:val="center"/>
                    <w:rPr>
                      <w:sz w:val="20"/>
                    </w:rPr>
                  </w:pPr>
                  <w:r>
                    <w:rPr>
                      <w:sz w:val="20"/>
                    </w:rPr>
                    <w:t>99</w:t>
                  </w:r>
                </w:p>
              </w:tc>
              <w:tc>
                <w:tcPr>
                  <w:tcW w:w="450" w:type="dxa"/>
                  <w:tcMar>
                    <w:top w:w="15" w:type="dxa"/>
                    <w:left w:w="15" w:type="dxa"/>
                    <w:right w:w="15" w:type="dxa"/>
                  </w:tcMar>
                  <w:vAlign w:val="center"/>
                </w:tcPr>
                <w:p>
                  <w:pPr>
                    <w:tabs>
                      <w:tab w:val="left" w:pos="417"/>
                      <w:tab w:val="left" w:pos="3615"/>
                    </w:tabs>
                    <w:jc w:val="center"/>
                    <w:rPr>
                      <w:sz w:val="20"/>
                    </w:rPr>
                  </w:pPr>
                  <w:r>
                    <w:rPr>
                      <w:sz w:val="20"/>
                    </w:rPr>
                    <w:t>237</w:t>
                  </w:r>
                </w:p>
              </w:tc>
              <w:tc>
                <w:tcPr>
                  <w:tcW w:w="387" w:type="dxa"/>
                  <w:tcMar>
                    <w:top w:w="15" w:type="dxa"/>
                    <w:left w:w="15" w:type="dxa"/>
                    <w:right w:w="15" w:type="dxa"/>
                  </w:tcMar>
                  <w:vAlign w:val="center"/>
                </w:tcPr>
                <w:p>
                  <w:pPr>
                    <w:tabs>
                      <w:tab w:val="left" w:pos="417"/>
                      <w:tab w:val="left" w:pos="3615"/>
                    </w:tabs>
                    <w:jc w:val="center"/>
                    <w:rPr>
                      <w:sz w:val="20"/>
                    </w:rPr>
                  </w:pPr>
                  <w:r>
                    <w:rPr>
                      <w:sz w:val="20"/>
                    </w:rPr>
                    <w:t>79</w:t>
                  </w:r>
                </w:p>
              </w:tc>
              <w:tc>
                <w:tcPr>
                  <w:tcW w:w="538" w:type="dxa"/>
                  <w:tcMar>
                    <w:top w:w="15" w:type="dxa"/>
                    <w:left w:w="15" w:type="dxa"/>
                    <w:right w:w="15" w:type="dxa"/>
                  </w:tcMar>
                  <w:vAlign w:val="center"/>
                </w:tcPr>
                <w:p>
                  <w:pPr>
                    <w:tabs>
                      <w:tab w:val="left" w:pos="417"/>
                      <w:tab w:val="left" w:pos="3615"/>
                    </w:tabs>
                    <w:jc w:val="center"/>
                    <w:rPr>
                      <w:sz w:val="20"/>
                    </w:rPr>
                  </w:pPr>
                  <w:r>
                    <w:rPr>
                      <w:sz w:val="20"/>
                    </w:rPr>
                    <w:t>592</w:t>
                  </w:r>
                </w:p>
              </w:tc>
              <w:tc>
                <w:tcPr>
                  <w:tcW w:w="475" w:type="dxa"/>
                  <w:tcMar>
                    <w:top w:w="15" w:type="dxa"/>
                    <w:left w:w="15" w:type="dxa"/>
                    <w:right w:w="15" w:type="dxa"/>
                  </w:tcMar>
                  <w:vAlign w:val="center"/>
                </w:tcPr>
                <w:p>
                  <w:pPr>
                    <w:tabs>
                      <w:tab w:val="left" w:pos="417"/>
                      <w:tab w:val="left" w:pos="3615"/>
                    </w:tabs>
                    <w:jc w:val="center"/>
                    <w:rPr>
                      <w:sz w:val="20"/>
                    </w:rPr>
                  </w:pPr>
                  <w:r>
                    <w:rPr>
                      <w:sz w:val="20"/>
                    </w:rPr>
                    <w:t>197</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37</w:t>
                  </w:r>
                </w:p>
              </w:tc>
              <w:tc>
                <w:tcPr>
                  <w:tcW w:w="575" w:type="dxa"/>
                  <w:tcMar>
                    <w:top w:w="15" w:type="dxa"/>
                    <w:left w:w="15" w:type="dxa"/>
                    <w:right w:w="15" w:type="dxa"/>
                  </w:tcMar>
                  <w:vAlign w:val="center"/>
                </w:tcPr>
                <w:p>
                  <w:pPr>
                    <w:tabs>
                      <w:tab w:val="left" w:pos="417"/>
                      <w:tab w:val="left" w:pos="3615"/>
                    </w:tabs>
                    <w:jc w:val="center"/>
                    <w:rPr>
                      <w:sz w:val="20"/>
                    </w:rPr>
                  </w:pPr>
                  <w:r>
                    <w:rPr>
                      <w:sz w:val="20"/>
                    </w:rPr>
                    <w:t>16</w:t>
                  </w:r>
                </w:p>
              </w:tc>
              <w:tc>
                <w:tcPr>
                  <w:tcW w:w="492" w:type="dxa"/>
                  <w:tcMar>
                    <w:top w:w="15" w:type="dxa"/>
                    <w:left w:w="15" w:type="dxa"/>
                    <w:right w:w="15" w:type="dxa"/>
                  </w:tcMar>
                  <w:vAlign w:val="center"/>
                </w:tcPr>
                <w:p>
                  <w:pPr>
                    <w:tabs>
                      <w:tab w:val="left" w:pos="417"/>
                      <w:tab w:val="left" w:pos="3615"/>
                    </w:tabs>
                    <w:jc w:val="center"/>
                    <w:rPr>
                      <w:sz w:val="20"/>
                    </w:rPr>
                  </w:pPr>
                  <w:r>
                    <w:rPr>
                      <w:sz w:val="20"/>
                    </w:rPr>
                    <w:t>1826</w:t>
                  </w:r>
                </w:p>
              </w:tc>
              <w:tc>
                <w:tcPr>
                  <w:tcW w:w="474" w:type="dxa"/>
                  <w:tcMar>
                    <w:top w:w="15" w:type="dxa"/>
                    <w:left w:w="15" w:type="dxa"/>
                    <w:right w:w="15" w:type="dxa"/>
                  </w:tcMar>
                  <w:vAlign w:val="center"/>
                </w:tcPr>
                <w:p>
                  <w:pPr>
                    <w:tabs>
                      <w:tab w:val="left" w:pos="417"/>
                      <w:tab w:val="left" w:pos="3615"/>
                    </w:tabs>
                    <w:jc w:val="center"/>
                    <w:rPr>
                      <w:sz w:val="20"/>
                    </w:rPr>
                  </w:pPr>
                  <w:r>
                    <w:rPr>
                      <w:sz w:val="20"/>
                    </w:rPr>
                    <w:t>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adjustRightInd w:val="0"/>
                    <w:snapToGrid w:val="0"/>
                    <w:jc w:val="center"/>
                    <w:rPr>
                      <w:sz w:val="20"/>
                    </w:rPr>
                  </w:pPr>
                  <w:r>
                    <w:rPr>
                      <w:sz w:val="20"/>
                    </w:rPr>
                    <w:t>团结</w:t>
                  </w:r>
                </w:p>
              </w:tc>
              <w:tc>
                <w:tcPr>
                  <w:tcW w:w="662" w:type="dxa"/>
                  <w:tcMar>
                    <w:top w:w="15" w:type="dxa"/>
                    <w:left w:w="15" w:type="dxa"/>
                    <w:right w:w="15" w:type="dxa"/>
                  </w:tcMar>
                  <w:vAlign w:val="center"/>
                </w:tcPr>
                <w:p>
                  <w:pPr>
                    <w:tabs>
                      <w:tab w:val="left" w:pos="417"/>
                      <w:tab w:val="left" w:pos="3615"/>
                    </w:tabs>
                    <w:jc w:val="center"/>
                    <w:rPr>
                      <w:sz w:val="20"/>
                    </w:rPr>
                  </w:pPr>
                  <w:r>
                    <w:rPr>
                      <w:sz w:val="20"/>
                    </w:rPr>
                    <w:t>绿玉池</w:t>
                  </w:r>
                </w:p>
              </w:tc>
              <w:tc>
                <w:tcPr>
                  <w:tcW w:w="425" w:type="dxa"/>
                  <w:tcMar>
                    <w:top w:w="15" w:type="dxa"/>
                    <w:left w:w="15" w:type="dxa"/>
                    <w:right w:w="15" w:type="dxa"/>
                  </w:tcMar>
                  <w:vAlign w:val="center"/>
                </w:tcPr>
                <w:p>
                  <w:pPr>
                    <w:tabs>
                      <w:tab w:val="left" w:pos="417"/>
                      <w:tab w:val="left" w:pos="3615"/>
                    </w:tabs>
                    <w:jc w:val="center"/>
                    <w:rPr>
                      <w:sz w:val="20"/>
                    </w:rPr>
                  </w:pPr>
                  <w:r>
                    <w:rPr>
                      <w:sz w:val="20"/>
                    </w:rPr>
                    <w:t>22</w:t>
                  </w:r>
                </w:p>
              </w:tc>
              <w:tc>
                <w:tcPr>
                  <w:tcW w:w="425" w:type="dxa"/>
                  <w:tcMar>
                    <w:top w:w="15" w:type="dxa"/>
                    <w:left w:w="15" w:type="dxa"/>
                    <w:right w:w="15" w:type="dxa"/>
                  </w:tcMar>
                  <w:vAlign w:val="center"/>
                </w:tcPr>
                <w:p>
                  <w:pPr>
                    <w:tabs>
                      <w:tab w:val="left" w:pos="417"/>
                      <w:tab w:val="left" w:pos="3615"/>
                    </w:tabs>
                    <w:jc w:val="center"/>
                    <w:rPr>
                      <w:sz w:val="20"/>
                    </w:rPr>
                  </w:pPr>
                  <w:r>
                    <w:rPr>
                      <w:sz w:val="20"/>
                    </w:rPr>
                    <w:t>22</w:t>
                  </w:r>
                </w:p>
              </w:tc>
              <w:tc>
                <w:tcPr>
                  <w:tcW w:w="425" w:type="dxa"/>
                  <w:tcMar>
                    <w:top w:w="15" w:type="dxa"/>
                    <w:left w:w="15" w:type="dxa"/>
                    <w:right w:w="15" w:type="dxa"/>
                  </w:tcMar>
                  <w:vAlign w:val="center"/>
                </w:tcPr>
                <w:p>
                  <w:pPr>
                    <w:tabs>
                      <w:tab w:val="left" w:pos="417"/>
                      <w:tab w:val="left" w:pos="3615"/>
                    </w:tabs>
                    <w:jc w:val="center"/>
                    <w:rPr>
                      <w:sz w:val="20"/>
                    </w:rPr>
                  </w:pPr>
                  <w:r>
                    <w:rPr>
                      <w:sz w:val="20"/>
                    </w:rPr>
                    <w:t>54</w:t>
                  </w:r>
                </w:p>
              </w:tc>
              <w:tc>
                <w:tcPr>
                  <w:tcW w:w="413" w:type="dxa"/>
                  <w:tcMar>
                    <w:top w:w="15" w:type="dxa"/>
                    <w:left w:w="15" w:type="dxa"/>
                    <w:right w:w="15" w:type="dxa"/>
                  </w:tcMar>
                  <w:vAlign w:val="center"/>
                </w:tcPr>
                <w:p>
                  <w:pPr>
                    <w:tabs>
                      <w:tab w:val="left" w:pos="417"/>
                      <w:tab w:val="left" w:pos="3615"/>
                    </w:tabs>
                    <w:jc w:val="center"/>
                    <w:rPr>
                      <w:sz w:val="20"/>
                    </w:rPr>
                  </w:pPr>
                  <w:r>
                    <w:rPr>
                      <w:sz w:val="20"/>
                    </w:rPr>
                    <w:t>54</w:t>
                  </w:r>
                </w:p>
              </w:tc>
              <w:tc>
                <w:tcPr>
                  <w:tcW w:w="450" w:type="dxa"/>
                  <w:tcMar>
                    <w:top w:w="15" w:type="dxa"/>
                    <w:left w:w="15" w:type="dxa"/>
                    <w:right w:w="15" w:type="dxa"/>
                  </w:tcMar>
                  <w:vAlign w:val="center"/>
                </w:tcPr>
                <w:p>
                  <w:pPr>
                    <w:tabs>
                      <w:tab w:val="left" w:pos="417"/>
                      <w:tab w:val="left" w:pos="3615"/>
                    </w:tabs>
                    <w:jc w:val="center"/>
                    <w:rPr>
                      <w:sz w:val="20"/>
                    </w:rPr>
                  </w:pPr>
                  <w:r>
                    <w:rPr>
                      <w:sz w:val="20"/>
                    </w:rPr>
                    <w:t>130</w:t>
                  </w:r>
                </w:p>
              </w:tc>
              <w:tc>
                <w:tcPr>
                  <w:tcW w:w="387" w:type="dxa"/>
                  <w:tcMar>
                    <w:top w:w="15" w:type="dxa"/>
                    <w:left w:w="15" w:type="dxa"/>
                    <w:right w:w="15" w:type="dxa"/>
                  </w:tcMar>
                  <w:vAlign w:val="center"/>
                </w:tcPr>
                <w:p>
                  <w:pPr>
                    <w:tabs>
                      <w:tab w:val="left" w:pos="417"/>
                      <w:tab w:val="left" w:pos="3615"/>
                    </w:tabs>
                    <w:jc w:val="center"/>
                    <w:rPr>
                      <w:sz w:val="20"/>
                    </w:rPr>
                  </w:pPr>
                  <w:r>
                    <w:rPr>
                      <w:sz w:val="20"/>
                    </w:rPr>
                    <w:t>43</w:t>
                  </w:r>
                </w:p>
              </w:tc>
              <w:tc>
                <w:tcPr>
                  <w:tcW w:w="538" w:type="dxa"/>
                  <w:tcMar>
                    <w:top w:w="15" w:type="dxa"/>
                    <w:left w:w="15" w:type="dxa"/>
                    <w:right w:w="15" w:type="dxa"/>
                  </w:tcMar>
                  <w:vAlign w:val="center"/>
                </w:tcPr>
                <w:p>
                  <w:pPr>
                    <w:tabs>
                      <w:tab w:val="left" w:pos="417"/>
                      <w:tab w:val="left" w:pos="3615"/>
                    </w:tabs>
                    <w:jc w:val="center"/>
                    <w:rPr>
                      <w:sz w:val="20"/>
                    </w:rPr>
                  </w:pPr>
                  <w:r>
                    <w:rPr>
                      <w:sz w:val="20"/>
                    </w:rPr>
                    <w:t>324</w:t>
                  </w:r>
                </w:p>
              </w:tc>
              <w:tc>
                <w:tcPr>
                  <w:tcW w:w="475" w:type="dxa"/>
                  <w:tcMar>
                    <w:top w:w="15" w:type="dxa"/>
                    <w:left w:w="15" w:type="dxa"/>
                    <w:right w:w="15" w:type="dxa"/>
                  </w:tcMar>
                  <w:vAlign w:val="center"/>
                </w:tcPr>
                <w:p>
                  <w:pPr>
                    <w:tabs>
                      <w:tab w:val="left" w:pos="417"/>
                      <w:tab w:val="left" w:pos="3615"/>
                    </w:tabs>
                    <w:jc w:val="center"/>
                    <w:rPr>
                      <w:sz w:val="20"/>
                    </w:rPr>
                  </w:pPr>
                  <w:r>
                    <w:rPr>
                      <w:sz w:val="20"/>
                    </w:rPr>
                    <w:t>108</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4</w:t>
                  </w:r>
                </w:p>
              </w:tc>
              <w:tc>
                <w:tcPr>
                  <w:tcW w:w="425" w:type="dxa"/>
                  <w:tcMar>
                    <w:top w:w="15" w:type="dxa"/>
                    <w:left w:w="15" w:type="dxa"/>
                    <w:right w:w="15" w:type="dxa"/>
                  </w:tcMar>
                  <w:vAlign w:val="center"/>
                </w:tcPr>
                <w:p>
                  <w:pPr>
                    <w:tabs>
                      <w:tab w:val="left" w:pos="417"/>
                      <w:tab w:val="left" w:pos="3615"/>
                    </w:tabs>
                    <w:jc w:val="center"/>
                    <w:rPr>
                      <w:sz w:val="20"/>
                    </w:rPr>
                  </w:pPr>
                  <w:r>
                    <w:rPr>
                      <w:sz w:val="20"/>
                    </w:rPr>
                    <w:t>1</w:t>
                  </w:r>
                </w:p>
              </w:tc>
              <w:tc>
                <w:tcPr>
                  <w:tcW w:w="463"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20</w:t>
                  </w:r>
                </w:p>
              </w:tc>
              <w:tc>
                <w:tcPr>
                  <w:tcW w:w="575" w:type="dxa"/>
                  <w:tcMar>
                    <w:top w:w="15" w:type="dxa"/>
                    <w:left w:w="15" w:type="dxa"/>
                    <w:right w:w="15" w:type="dxa"/>
                  </w:tcMar>
                  <w:vAlign w:val="center"/>
                </w:tcPr>
                <w:p>
                  <w:pPr>
                    <w:tabs>
                      <w:tab w:val="left" w:pos="417"/>
                      <w:tab w:val="left" w:pos="3615"/>
                    </w:tabs>
                    <w:jc w:val="center"/>
                    <w:rPr>
                      <w:sz w:val="20"/>
                    </w:rPr>
                  </w:pPr>
                  <w:r>
                    <w:rPr>
                      <w:sz w:val="20"/>
                    </w:rPr>
                    <w:t>9</w:t>
                  </w:r>
                </w:p>
              </w:tc>
              <w:tc>
                <w:tcPr>
                  <w:tcW w:w="492" w:type="dxa"/>
                  <w:tcMar>
                    <w:top w:w="15" w:type="dxa"/>
                    <w:left w:w="15" w:type="dxa"/>
                    <w:right w:w="15" w:type="dxa"/>
                  </w:tcMar>
                  <w:vAlign w:val="center"/>
                </w:tcPr>
                <w:p>
                  <w:pPr>
                    <w:tabs>
                      <w:tab w:val="left" w:pos="417"/>
                      <w:tab w:val="left" w:pos="3615"/>
                    </w:tabs>
                    <w:jc w:val="center"/>
                    <w:rPr>
                      <w:sz w:val="20"/>
                    </w:rPr>
                  </w:pPr>
                  <w:r>
                    <w:rPr>
                      <w:sz w:val="20"/>
                    </w:rPr>
                    <w:t>999</w:t>
                  </w:r>
                </w:p>
              </w:tc>
              <w:tc>
                <w:tcPr>
                  <w:tcW w:w="474" w:type="dxa"/>
                  <w:tcMar>
                    <w:top w:w="15" w:type="dxa"/>
                    <w:left w:w="15" w:type="dxa"/>
                    <w:right w:w="15" w:type="dxa"/>
                  </w:tcMar>
                  <w:vAlign w:val="center"/>
                </w:tcPr>
                <w:p>
                  <w:pPr>
                    <w:tabs>
                      <w:tab w:val="left" w:pos="417"/>
                      <w:tab w:val="left" w:pos="3615"/>
                    </w:tabs>
                    <w:jc w:val="center"/>
                    <w:rPr>
                      <w:sz w:val="20"/>
                    </w:rPr>
                  </w:pPr>
                  <w:r>
                    <w:rPr>
                      <w:sz w:val="20"/>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波中</w:t>
                  </w:r>
                </w:p>
              </w:tc>
              <w:tc>
                <w:tcPr>
                  <w:tcW w:w="425" w:type="dxa"/>
                  <w:tcMar>
                    <w:top w:w="15" w:type="dxa"/>
                    <w:left w:w="15" w:type="dxa"/>
                    <w:right w:w="15" w:type="dxa"/>
                  </w:tcMar>
                  <w:vAlign w:val="center"/>
                </w:tcPr>
                <w:p>
                  <w:pPr>
                    <w:tabs>
                      <w:tab w:val="left" w:pos="417"/>
                      <w:tab w:val="left" w:pos="3615"/>
                    </w:tabs>
                    <w:jc w:val="center"/>
                    <w:rPr>
                      <w:sz w:val="20"/>
                    </w:rPr>
                  </w:pPr>
                  <w:r>
                    <w:rPr>
                      <w:sz w:val="20"/>
                    </w:rPr>
                    <w:t>64</w:t>
                  </w:r>
                </w:p>
              </w:tc>
              <w:tc>
                <w:tcPr>
                  <w:tcW w:w="425" w:type="dxa"/>
                  <w:tcMar>
                    <w:top w:w="15" w:type="dxa"/>
                    <w:left w:w="15" w:type="dxa"/>
                    <w:right w:w="15" w:type="dxa"/>
                  </w:tcMar>
                  <w:vAlign w:val="center"/>
                </w:tcPr>
                <w:p>
                  <w:pPr>
                    <w:tabs>
                      <w:tab w:val="left" w:pos="417"/>
                      <w:tab w:val="left" w:pos="3615"/>
                    </w:tabs>
                    <w:jc w:val="center"/>
                    <w:rPr>
                      <w:sz w:val="20"/>
                    </w:rPr>
                  </w:pPr>
                  <w:r>
                    <w:rPr>
                      <w:sz w:val="20"/>
                    </w:rPr>
                    <w:t>64</w:t>
                  </w:r>
                </w:p>
              </w:tc>
              <w:tc>
                <w:tcPr>
                  <w:tcW w:w="425" w:type="dxa"/>
                  <w:tcMar>
                    <w:top w:w="15" w:type="dxa"/>
                    <w:left w:w="15" w:type="dxa"/>
                    <w:right w:w="15" w:type="dxa"/>
                  </w:tcMar>
                  <w:vAlign w:val="center"/>
                </w:tcPr>
                <w:p>
                  <w:pPr>
                    <w:tabs>
                      <w:tab w:val="left" w:pos="417"/>
                      <w:tab w:val="left" w:pos="3615"/>
                    </w:tabs>
                    <w:jc w:val="center"/>
                    <w:rPr>
                      <w:sz w:val="20"/>
                    </w:rPr>
                  </w:pPr>
                  <w:r>
                    <w:rPr>
                      <w:sz w:val="20"/>
                    </w:rPr>
                    <w:t>159</w:t>
                  </w:r>
                </w:p>
              </w:tc>
              <w:tc>
                <w:tcPr>
                  <w:tcW w:w="413" w:type="dxa"/>
                  <w:tcMar>
                    <w:top w:w="15" w:type="dxa"/>
                    <w:left w:w="15" w:type="dxa"/>
                    <w:right w:w="15" w:type="dxa"/>
                  </w:tcMar>
                  <w:vAlign w:val="center"/>
                </w:tcPr>
                <w:p>
                  <w:pPr>
                    <w:tabs>
                      <w:tab w:val="left" w:pos="417"/>
                      <w:tab w:val="left" w:pos="3615"/>
                    </w:tabs>
                    <w:jc w:val="center"/>
                    <w:rPr>
                      <w:sz w:val="20"/>
                    </w:rPr>
                  </w:pPr>
                  <w:r>
                    <w:rPr>
                      <w:sz w:val="20"/>
                    </w:rPr>
                    <w:t>159</w:t>
                  </w:r>
                </w:p>
              </w:tc>
              <w:tc>
                <w:tcPr>
                  <w:tcW w:w="450" w:type="dxa"/>
                  <w:tcMar>
                    <w:top w:w="15" w:type="dxa"/>
                    <w:left w:w="15" w:type="dxa"/>
                    <w:right w:w="15" w:type="dxa"/>
                  </w:tcMar>
                  <w:vAlign w:val="center"/>
                </w:tcPr>
                <w:p>
                  <w:pPr>
                    <w:tabs>
                      <w:tab w:val="left" w:pos="417"/>
                      <w:tab w:val="left" w:pos="3615"/>
                    </w:tabs>
                    <w:jc w:val="center"/>
                    <w:rPr>
                      <w:sz w:val="20"/>
                    </w:rPr>
                  </w:pPr>
                  <w:r>
                    <w:rPr>
                      <w:sz w:val="20"/>
                    </w:rPr>
                    <w:t>382</w:t>
                  </w:r>
                </w:p>
              </w:tc>
              <w:tc>
                <w:tcPr>
                  <w:tcW w:w="387" w:type="dxa"/>
                  <w:tcMar>
                    <w:top w:w="15" w:type="dxa"/>
                    <w:left w:w="15" w:type="dxa"/>
                    <w:right w:w="15" w:type="dxa"/>
                  </w:tcMar>
                  <w:vAlign w:val="center"/>
                </w:tcPr>
                <w:p>
                  <w:pPr>
                    <w:tabs>
                      <w:tab w:val="left" w:pos="417"/>
                      <w:tab w:val="left" w:pos="3615"/>
                    </w:tabs>
                    <w:jc w:val="center"/>
                    <w:rPr>
                      <w:sz w:val="20"/>
                    </w:rPr>
                  </w:pPr>
                  <w:r>
                    <w:rPr>
                      <w:sz w:val="20"/>
                    </w:rPr>
                    <w:t>127</w:t>
                  </w:r>
                </w:p>
              </w:tc>
              <w:tc>
                <w:tcPr>
                  <w:tcW w:w="538" w:type="dxa"/>
                  <w:tcMar>
                    <w:top w:w="15" w:type="dxa"/>
                    <w:left w:w="15" w:type="dxa"/>
                    <w:right w:w="15" w:type="dxa"/>
                  </w:tcMar>
                  <w:vAlign w:val="center"/>
                </w:tcPr>
                <w:p>
                  <w:pPr>
                    <w:tabs>
                      <w:tab w:val="left" w:pos="417"/>
                      <w:tab w:val="left" w:pos="3615"/>
                    </w:tabs>
                    <w:jc w:val="center"/>
                    <w:rPr>
                      <w:sz w:val="20"/>
                    </w:rPr>
                  </w:pPr>
                  <w:r>
                    <w:rPr>
                      <w:sz w:val="20"/>
                    </w:rPr>
                    <w:t>955</w:t>
                  </w:r>
                </w:p>
              </w:tc>
              <w:tc>
                <w:tcPr>
                  <w:tcW w:w="475" w:type="dxa"/>
                  <w:tcMar>
                    <w:top w:w="15" w:type="dxa"/>
                    <w:left w:w="15" w:type="dxa"/>
                    <w:right w:w="15" w:type="dxa"/>
                  </w:tcMar>
                  <w:vAlign w:val="center"/>
                </w:tcPr>
                <w:p>
                  <w:pPr>
                    <w:tabs>
                      <w:tab w:val="left" w:pos="417"/>
                      <w:tab w:val="left" w:pos="3615"/>
                    </w:tabs>
                    <w:jc w:val="center"/>
                    <w:rPr>
                      <w:sz w:val="20"/>
                    </w:rPr>
                  </w:pPr>
                  <w:r>
                    <w:rPr>
                      <w:sz w:val="20"/>
                    </w:rPr>
                    <w:t>318</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59</w:t>
                  </w:r>
                </w:p>
              </w:tc>
              <w:tc>
                <w:tcPr>
                  <w:tcW w:w="575" w:type="dxa"/>
                  <w:tcMar>
                    <w:top w:w="15" w:type="dxa"/>
                    <w:left w:w="15" w:type="dxa"/>
                    <w:right w:w="15" w:type="dxa"/>
                  </w:tcMar>
                  <w:vAlign w:val="center"/>
                </w:tcPr>
                <w:p>
                  <w:pPr>
                    <w:tabs>
                      <w:tab w:val="left" w:pos="417"/>
                      <w:tab w:val="left" w:pos="3615"/>
                    </w:tabs>
                    <w:jc w:val="center"/>
                    <w:rPr>
                      <w:sz w:val="20"/>
                    </w:rPr>
                  </w:pPr>
                  <w:r>
                    <w:rPr>
                      <w:sz w:val="20"/>
                    </w:rPr>
                    <w:t>26</w:t>
                  </w:r>
                </w:p>
              </w:tc>
              <w:tc>
                <w:tcPr>
                  <w:tcW w:w="492" w:type="dxa"/>
                  <w:tcMar>
                    <w:top w:w="15" w:type="dxa"/>
                    <w:left w:w="15" w:type="dxa"/>
                    <w:right w:w="15" w:type="dxa"/>
                  </w:tcMar>
                  <w:vAlign w:val="center"/>
                </w:tcPr>
                <w:p>
                  <w:pPr>
                    <w:tabs>
                      <w:tab w:val="left" w:pos="417"/>
                      <w:tab w:val="left" w:pos="3615"/>
                    </w:tabs>
                    <w:jc w:val="center"/>
                    <w:rPr>
                      <w:sz w:val="20"/>
                    </w:rPr>
                  </w:pPr>
                  <w:r>
                    <w:rPr>
                      <w:sz w:val="20"/>
                    </w:rPr>
                    <w:t>2946</w:t>
                  </w:r>
                </w:p>
              </w:tc>
              <w:tc>
                <w:tcPr>
                  <w:tcW w:w="474" w:type="dxa"/>
                  <w:tcMar>
                    <w:top w:w="15" w:type="dxa"/>
                    <w:left w:w="15" w:type="dxa"/>
                    <w:right w:w="15" w:type="dxa"/>
                  </w:tcMar>
                  <w:vAlign w:val="center"/>
                </w:tcPr>
                <w:p>
                  <w:pPr>
                    <w:tabs>
                      <w:tab w:val="left" w:pos="417"/>
                      <w:tab w:val="left" w:pos="3615"/>
                    </w:tabs>
                    <w:jc w:val="center"/>
                    <w:rPr>
                      <w:sz w:val="20"/>
                    </w:rPr>
                  </w:pPr>
                  <w:r>
                    <w:rPr>
                      <w:sz w:val="20"/>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波尾</w:t>
                  </w:r>
                </w:p>
              </w:tc>
              <w:tc>
                <w:tcPr>
                  <w:tcW w:w="425" w:type="dxa"/>
                  <w:tcMar>
                    <w:top w:w="15" w:type="dxa"/>
                    <w:left w:w="15" w:type="dxa"/>
                    <w:right w:w="15" w:type="dxa"/>
                  </w:tcMar>
                  <w:vAlign w:val="center"/>
                </w:tcPr>
                <w:p>
                  <w:pPr>
                    <w:tabs>
                      <w:tab w:val="left" w:pos="417"/>
                      <w:tab w:val="left" w:pos="3615"/>
                    </w:tabs>
                    <w:jc w:val="center"/>
                    <w:rPr>
                      <w:sz w:val="20"/>
                    </w:rPr>
                  </w:pPr>
                  <w:r>
                    <w:rPr>
                      <w:sz w:val="20"/>
                    </w:rPr>
                    <w:t>55</w:t>
                  </w:r>
                </w:p>
              </w:tc>
              <w:tc>
                <w:tcPr>
                  <w:tcW w:w="425" w:type="dxa"/>
                  <w:tcMar>
                    <w:top w:w="15" w:type="dxa"/>
                    <w:left w:w="15" w:type="dxa"/>
                    <w:right w:w="15" w:type="dxa"/>
                  </w:tcMar>
                  <w:vAlign w:val="center"/>
                </w:tcPr>
                <w:p>
                  <w:pPr>
                    <w:tabs>
                      <w:tab w:val="left" w:pos="417"/>
                      <w:tab w:val="left" w:pos="3615"/>
                    </w:tabs>
                    <w:jc w:val="center"/>
                    <w:rPr>
                      <w:sz w:val="20"/>
                    </w:rPr>
                  </w:pPr>
                  <w:r>
                    <w:rPr>
                      <w:sz w:val="20"/>
                    </w:rPr>
                    <w:t>55</w:t>
                  </w:r>
                </w:p>
              </w:tc>
              <w:tc>
                <w:tcPr>
                  <w:tcW w:w="425" w:type="dxa"/>
                  <w:tcMar>
                    <w:top w:w="15" w:type="dxa"/>
                    <w:left w:w="15" w:type="dxa"/>
                    <w:right w:w="15" w:type="dxa"/>
                  </w:tcMar>
                  <w:vAlign w:val="center"/>
                </w:tcPr>
                <w:p>
                  <w:pPr>
                    <w:tabs>
                      <w:tab w:val="left" w:pos="417"/>
                      <w:tab w:val="left" w:pos="3615"/>
                    </w:tabs>
                    <w:jc w:val="center"/>
                    <w:rPr>
                      <w:sz w:val="20"/>
                    </w:rPr>
                  </w:pPr>
                  <w:r>
                    <w:rPr>
                      <w:sz w:val="20"/>
                    </w:rPr>
                    <w:t>138</w:t>
                  </w:r>
                </w:p>
              </w:tc>
              <w:tc>
                <w:tcPr>
                  <w:tcW w:w="413" w:type="dxa"/>
                  <w:tcMar>
                    <w:top w:w="15" w:type="dxa"/>
                    <w:left w:w="15" w:type="dxa"/>
                    <w:right w:w="15" w:type="dxa"/>
                  </w:tcMar>
                  <w:vAlign w:val="center"/>
                </w:tcPr>
                <w:p>
                  <w:pPr>
                    <w:tabs>
                      <w:tab w:val="left" w:pos="417"/>
                      <w:tab w:val="left" w:pos="3615"/>
                    </w:tabs>
                    <w:jc w:val="center"/>
                    <w:rPr>
                      <w:sz w:val="20"/>
                    </w:rPr>
                  </w:pPr>
                  <w:r>
                    <w:rPr>
                      <w:sz w:val="20"/>
                    </w:rPr>
                    <w:t>138</w:t>
                  </w:r>
                </w:p>
              </w:tc>
              <w:tc>
                <w:tcPr>
                  <w:tcW w:w="450" w:type="dxa"/>
                  <w:tcMar>
                    <w:top w:w="15" w:type="dxa"/>
                    <w:left w:w="15" w:type="dxa"/>
                    <w:right w:w="15" w:type="dxa"/>
                  </w:tcMar>
                  <w:vAlign w:val="center"/>
                </w:tcPr>
                <w:p>
                  <w:pPr>
                    <w:tabs>
                      <w:tab w:val="left" w:pos="417"/>
                      <w:tab w:val="left" w:pos="3615"/>
                    </w:tabs>
                    <w:jc w:val="center"/>
                    <w:rPr>
                      <w:sz w:val="20"/>
                    </w:rPr>
                  </w:pPr>
                  <w:r>
                    <w:rPr>
                      <w:sz w:val="20"/>
                    </w:rPr>
                    <w:t>330</w:t>
                  </w:r>
                </w:p>
              </w:tc>
              <w:tc>
                <w:tcPr>
                  <w:tcW w:w="387" w:type="dxa"/>
                  <w:tcMar>
                    <w:top w:w="15" w:type="dxa"/>
                    <w:left w:w="15" w:type="dxa"/>
                    <w:right w:w="15" w:type="dxa"/>
                  </w:tcMar>
                  <w:vAlign w:val="center"/>
                </w:tcPr>
                <w:p>
                  <w:pPr>
                    <w:tabs>
                      <w:tab w:val="left" w:pos="417"/>
                      <w:tab w:val="left" w:pos="3615"/>
                    </w:tabs>
                    <w:jc w:val="center"/>
                    <w:rPr>
                      <w:sz w:val="20"/>
                    </w:rPr>
                  </w:pPr>
                  <w:r>
                    <w:rPr>
                      <w:sz w:val="20"/>
                    </w:rPr>
                    <w:t>110</w:t>
                  </w:r>
                </w:p>
              </w:tc>
              <w:tc>
                <w:tcPr>
                  <w:tcW w:w="538" w:type="dxa"/>
                  <w:tcMar>
                    <w:top w:w="15" w:type="dxa"/>
                    <w:left w:w="15" w:type="dxa"/>
                    <w:right w:w="15" w:type="dxa"/>
                  </w:tcMar>
                  <w:vAlign w:val="center"/>
                </w:tcPr>
                <w:p>
                  <w:pPr>
                    <w:tabs>
                      <w:tab w:val="left" w:pos="417"/>
                      <w:tab w:val="left" w:pos="3615"/>
                    </w:tabs>
                    <w:jc w:val="center"/>
                    <w:rPr>
                      <w:sz w:val="20"/>
                    </w:rPr>
                  </w:pPr>
                  <w:r>
                    <w:rPr>
                      <w:sz w:val="20"/>
                    </w:rPr>
                    <w:t>826</w:t>
                  </w:r>
                </w:p>
              </w:tc>
              <w:tc>
                <w:tcPr>
                  <w:tcW w:w="475" w:type="dxa"/>
                  <w:tcMar>
                    <w:top w:w="15" w:type="dxa"/>
                    <w:left w:w="15" w:type="dxa"/>
                    <w:right w:w="15" w:type="dxa"/>
                  </w:tcMar>
                  <w:vAlign w:val="center"/>
                </w:tcPr>
                <w:p>
                  <w:pPr>
                    <w:tabs>
                      <w:tab w:val="left" w:pos="417"/>
                      <w:tab w:val="left" w:pos="3615"/>
                    </w:tabs>
                    <w:jc w:val="center"/>
                    <w:rPr>
                      <w:sz w:val="20"/>
                    </w:rPr>
                  </w:pPr>
                  <w:r>
                    <w:rPr>
                      <w:sz w:val="20"/>
                    </w:rPr>
                    <w:t>275</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11</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13</w:t>
                  </w:r>
                </w:p>
              </w:tc>
              <w:tc>
                <w:tcPr>
                  <w:tcW w:w="475" w:type="dxa"/>
                  <w:tcMar>
                    <w:top w:w="15" w:type="dxa"/>
                    <w:left w:w="15" w:type="dxa"/>
                    <w:right w:w="15" w:type="dxa"/>
                  </w:tcMar>
                  <w:vAlign w:val="center"/>
                </w:tcPr>
                <w:p>
                  <w:pPr>
                    <w:tabs>
                      <w:tab w:val="left" w:pos="417"/>
                      <w:tab w:val="left" w:pos="3615"/>
                    </w:tabs>
                    <w:jc w:val="center"/>
                    <w:rPr>
                      <w:sz w:val="20"/>
                    </w:rPr>
                  </w:pPr>
                  <w:r>
                    <w:rPr>
                      <w:sz w:val="20"/>
                    </w:rPr>
                    <w:t>51</w:t>
                  </w:r>
                </w:p>
              </w:tc>
              <w:tc>
                <w:tcPr>
                  <w:tcW w:w="575" w:type="dxa"/>
                  <w:tcMar>
                    <w:top w:w="15" w:type="dxa"/>
                    <w:left w:w="15" w:type="dxa"/>
                    <w:right w:w="15" w:type="dxa"/>
                  </w:tcMar>
                  <w:vAlign w:val="center"/>
                </w:tcPr>
                <w:p>
                  <w:pPr>
                    <w:tabs>
                      <w:tab w:val="left" w:pos="417"/>
                      <w:tab w:val="left" w:pos="3615"/>
                    </w:tabs>
                    <w:jc w:val="center"/>
                    <w:rPr>
                      <w:sz w:val="20"/>
                    </w:rPr>
                  </w:pPr>
                  <w:r>
                    <w:rPr>
                      <w:sz w:val="20"/>
                    </w:rPr>
                    <w:t>22</w:t>
                  </w:r>
                </w:p>
              </w:tc>
              <w:tc>
                <w:tcPr>
                  <w:tcW w:w="492" w:type="dxa"/>
                  <w:tcMar>
                    <w:top w:w="15" w:type="dxa"/>
                    <w:left w:w="15" w:type="dxa"/>
                    <w:right w:w="15" w:type="dxa"/>
                  </w:tcMar>
                  <w:vAlign w:val="center"/>
                </w:tcPr>
                <w:p>
                  <w:pPr>
                    <w:tabs>
                      <w:tab w:val="left" w:pos="417"/>
                      <w:tab w:val="left" w:pos="3615"/>
                    </w:tabs>
                    <w:jc w:val="center"/>
                    <w:rPr>
                      <w:sz w:val="20"/>
                    </w:rPr>
                  </w:pPr>
                  <w:r>
                    <w:rPr>
                      <w:sz w:val="20"/>
                    </w:rPr>
                    <w:t>2546</w:t>
                  </w:r>
                </w:p>
              </w:tc>
              <w:tc>
                <w:tcPr>
                  <w:tcW w:w="474" w:type="dxa"/>
                  <w:tcMar>
                    <w:top w:w="15" w:type="dxa"/>
                    <w:left w:w="15" w:type="dxa"/>
                    <w:right w:w="15" w:type="dxa"/>
                  </w:tcMar>
                  <w:vAlign w:val="center"/>
                </w:tcPr>
                <w:p>
                  <w:pPr>
                    <w:tabs>
                      <w:tab w:val="left" w:pos="417"/>
                      <w:tab w:val="left" w:pos="3615"/>
                    </w:tabs>
                    <w:jc w:val="center"/>
                    <w:rPr>
                      <w:sz w:val="20"/>
                    </w:rPr>
                  </w:pPr>
                  <w:r>
                    <w:rPr>
                      <w:sz w:val="20"/>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凤羽镇</w:t>
                  </w:r>
                </w:p>
              </w:tc>
              <w:tc>
                <w:tcPr>
                  <w:tcW w:w="329" w:type="dxa"/>
                  <w:tcMar>
                    <w:top w:w="15" w:type="dxa"/>
                    <w:left w:w="15" w:type="dxa"/>
                    <w:right w:w="15" w:type="dxa"/>
                  </w:tcMar>
                  <w:vAlign w:val="center"/>
                </w:tcPr>
                <w:p>
                  <w:pPr>
                    <w:tabs>
                      <w:tab w:val="left" w:pos="417"/>
                      <w:tab w:val="left" w:pos="3615"/>
                    </w:tabs>
                    <w:jc w:val="center"/>
                    <w:rPr>
                      <w:sz w:val="20"/>
                    </w:rPr>
                  </w:pPr>
                  <w:r>
                    <w:rPr>
                      <w:sz w:val="20"/>
                    </w:rPr>
                    <w:t>凤翔</w:t>
                  </w:r>
                </w:p>
              </w:tc>
              <w:tc>
                <w:tcPr>
                  <w:tcW w:w="662" w:type="dxa"/>
                  <w:tcMar>
                    <w:top w:w="15" w:type="dxa"/>
                    <w:left w:w="15" w:type="dxa"/>
                    <w:right w:w="15" w:type="dxa"/>
                  </w:tcMar>
                  <w:vAlign w:val="center"/>
                </w:tcPr>
                <w:p>
                  <w:pPr>
                    <w:tabs>
                      <w:tab w:val="left" w:pos="417"/>
                      <w:tab w:val="left" w:pos="3615"/>
                    </w:tabs>
                    <w:jc w:val="center"/>
                    <w:rPr>
                      <w:sz w:val="20"/>
                    </w:rPr>
                  </w:pPr>
                  <w:r>
                    <w:rPr>
                      <w:sz w:val="20"/>
                    </w:rPr>
                    <w:t>新区</w:t>
                  </w:r>
                </w:p>
              </w:tc>
              <w:tc>
                <w:tcPr>
                  <w:tcW w:w="425" w:type="dxa"/>
                  <w:tcMar>
                    <w:top w:w="15" w:type="dxa"/>
                    <w:left w:w="15" w:type="dxa"/>
                    <w:right w:w="15" w:type="dxa"/>
                  </w:tcMar>
                  <w:vAlign w:val="center"/>
                </w:tcPr>
                <w:p>
                  <w:pPr>
                    <w:tabs>
                      <w:tab w:val="left" w:pos="417"/>
                      <w:tab w:val="left" w:pos="3615"/>
                    </w:tabs>
                    <w:jc w:val="center"/>
                    <w:rPr>
                      <w:sz w:val="20"/>
                    </w:rPr>
                  </w:pPr>
                  <w:r>
                    <w:rPr>
                      <w:sz w:val="20"/>
                    </w:rPr>
                    <w:t>342</w:t>
                  </w:r>
                </w:p>
              </w:tc>
              <w:tc>
                <w:tcPr>
                  <w:tcW w:w="425" w:type="dxa"/>
                  <w:tcMar>
                    <w:top w:w="15" w:type="dxa"/>
                    <w:left w:w="15" w:type="dxa"/>
                    <w:right w:w="15" w:type="dxa"/>
                  </w:tcMar>
                  <w:vAlign w:val="center"/>
                </w:tcPr>
                <w:p>
                  <w:pPr>
                    <w:tabs>
                      <w:tab w:val="left" w:pos="417"/>
                      <w:tab w:val="left" w:pos="3615"/>
                    </w:tabs>
                    <w:jc w:val="center"/>
                    <w:rPr>
                      <w:sz w:val="20"/>
                    </w:rPr>
                  </w:pPr>
                  <w:r>
                    <w:rPr>
                      <w:sz w:val="20"/>
                    </w:rPr>
                    <w:t>342</w:t>
                  </w:r>
                </w:p>
              </w:tc>
              <w:tc>
                <w:tcPr>
                  <w:tcW w:w="425" w:type="dxa"/>
                  <w:tcMar>
                    <w:top w:w="15" w:type="dxa"/>
                    <w:left w:w="15" w:type="dxa"/>
                    <w:right w:w="15" w:type="dxa"/>
                  </w:tcMar>
                  <w:vAlign w:val="center"/>
                </w:tcPr>
                <w:p>
                  <w:pPr>
                    <w:tabs>
                      <w:tab w:val="left" w:pos="417"/>
                      <w:tab w:val="left" w:pos="3615"/>
                    </w:tabs>
                    <w:jc w:val="center"/>
                    <w:rPr>
                      <w:sz w:val="20"/>
                    </w:rPr>
                  </w:pPr>
                  <w:r>
                    <w:rPr>
                      <w:sz w:val="20"/>
                    </w:rPr>
                    <w:t>854</w:t>
                  </w:r>
                </w:p>
              </w:tc>
              <w:tc>
                <w:tcPr>
                  <w:tcW w:w="413" w:type="dxa"/>
                  <w:tcMar>
                    <w:top w:w="15" w:type="dxa"/>
                    <w:left w:w="15" w:type="dxa"/>
                    <w:right w:w="15" w:type="dxa"/>
                  </w:tcMar>
                  <w:vAlign w:val="center"/>
                </w:tcPr>
                <w:p>
                  <w:pPr>
                    <w:tabs>
                      <w:tab w:val="left" w:pos="417"/>
                      <w:tab w:val="left" w:pos="3615"/>
                    </w:tabs>
                    <w:jc w:val="center"/>
                    <w:rPr>
                      <w:sz w:val="20"/>
                    </w:rPr>
                  </w:pPr>
                  <w:r>
                    <w:rPr>
                      <w:sz w:val="20"/>
                    </w:rPr>
                    <w:t>854</w:t>
                  </w:r>
                </w:p>
              </w:tc>
              <w:tc>
                <w:tcPr>
                  <w:tcW w:w="450" w:type="dxa"/>
                  <w:tcMar>
                    <w:top w:w="15" w:type="dxa"/>
                    <w:left w:w="15" w:type="dxa"/>
                    <w:right w:w="15" w:type="dxa"/>
                  </w:tcMar>
                  <w:vAlign w:val="center"/>
                </w:tcPr>
                <w:p>
                  <w:pPr>
                    <w:tabs>
                      <w:tab w:val="left" w:pos="417"/>
                      <w:tab w:val="left" w:pos="3615"/>
                    </w:tabs>
                    <w:jc w:val="center"/>
                    <w:rPr>
                      <w:sz w:val="20"/>
                    </w:rPr>
                  </w:pPr>
                  <w:r>
                    <w:rPr>
                      <w:sz w:val="20"/>
                    </w:rPr>
                    <w:t>2051</w:t>
                  </w:r>
                </w:p>
              </w:tc>
              <w:tc>
                <w:tcPr>
                  <w:tcW w:w="387" w:type="dxa"/>
                  <w:tcMar>
                    <w:top w:w="15" w:type="dxa"/>
                    <w:left w:w="15" w:type="dxa"/>
                    <w:right w:w="15" w:type="dxa"/>
                  </w:tcMar>
                  <w:vAlign w:val="center"/>
                </w:tcPr>
                <w:p>
                  <w:pPr>
                    <w:tabs>
                      <w:tab w:val="left" w:pos="417"/>
                      <w:tab w:val="left" w:pos="3615"/>
                    </w:tabs>
                    <w:jc w:val="center"/>
                    <w:rPr>
                      <w:sz w:val="20"/>
                    </w:rPr>
                  </w:pPr>
                  <w:r>
                    <w:rPr>
                      <w:sz w:val="20"/>
                    </w:rPr>
                    <w:t>684</w:t>
                  </w:r>
                </w:p>
              </w:tc>
              <w:tc>
                <w:tcPr>
                  <w:tcW w:w="538" w:type="dxa"/>
                  <w:tcMar>
                    <w:top w:w="15" w:type="dxa"/>
                    <w:left w:w="15" w:type="dxa"/>
                    <w:right w:w="15" w:type="dxa"/>
                  </w:tcMar>
                  <w:vAlign w:val="center"/>
                </w:tcPr>
                <w:p>
                  <w:pPr>
                    <w:tabs>
                      <w:tab w:val="left" w:pos="417"/>
                      <w:tab w:val="left" w:pos="3615"/>
                    </w:tabs>
                    <w:jc w:val="center"/>
                    <w:rPr>
                      <w:sz w:val="20"/>
                    </w:rPr>
                  </w:pPr>
                  <w:r>
                    <w:rPr>
                      <w:sz w:val="20"/>
                    </w:rPr>
                    <w:t>5127</w:t>
                  </w:r>
                </w:p>
              </w:tc>
              <w:tc>
                <w:tcPr>
                  <w:tcW w:w="475" w:type="dxa"/>
                  <w:tcMar>
                    <w:top w:w="15" w:type="dxa"/>
                    <w:left w:w="15" w:type="dxa"/>
                    <w:right w:w="15" w:type="dxa"/>
                  </w:tcMar>
                  <w:vAlign w:val="center"/>
                </w:tcPr>
                <w:p>
                  <w:pPr>
                    <w:tabs>
                      <w:tab w:val="left" w:pos="417"/>
                      <w:tab w:val="left" w:pos="3615"/>
                    </w:tabs>
                    <w:jc w:val="center"/>
                    <w:rPr>
                      <w:sz w:val="20"/>
                    </w:rPr>
                  </w:pPr>
                  <w:r>
                    <w:rPr>
                      <w:sz w:val="20"/>
                    </w:rPr>
                    <w:t>1709</w:t>
                  </w:r>
                </w:p>
              </w:tc>
              <w:tc>
                <w:tcPr>
                  <w:tcW w:w="437"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23</w:t>
                  </w:r>
                </w:p>
              </w:tc>
              <w:tc>
                <w:tcPr>
                  <w:tcW w:w="463" w:type="dxa"/>
                  <w:tcMar>
                    <w:top w:w="15" w:type="dxa"/>
                    <w:left w:w="15" w:type="dxa"/>
                    <w:right w:w="15" w:type="dxa"/>
                  </w:tcMar>
                  <w:vAlign w:val="center"/>
                </w:tcPr>
                <w:p>
                  <w:pPr>
                    <w:tabs>
                      <w:tab w:val="left" w:pos="417"/>
                      <w:tab w:val="left" w:pos="3615"/>
                    </w:tabs>
                    <w:jc w:val="center"/>
                    <w:rPr>
                      <w:sz w:val="20"/>
                    </w:rPr>
                  </w:pPr>
                  <w:r>
                    <w:rPr>
                      <w:sz w:val="20"/>
                    </w:rPr>
                    <w:t>79</w:t>
                  </w:r>
                </w:p>
              </w:tc>
              <w:tc>
                <w:tcPr>
                  <w:tcW w:w="475" w:type="dxa"/>
                  <w:tcMar>
                    <w:top w:w="15" w:type="dxa"/>
                    <w:left w:w="15" w:type="dxa"/>
                    <w:right w:w="15" w:type="dxa"/>
                  </w:tcMar>
                  <w:vAlign w:val="center"/>
                </w:tcPr>
                <w:p>
                  <w:pPr>
                    <w:tabs>
                      <w:tab w:val="left" w:pos="417"/>
                      <w:tab w:val="left" w:pos="3615"/>
                    </w:tabs>
                    <w:jc w:val="center"/>
                    <w:rPr>
                      <w:sz w:val="20"/>
                    </w:rPr>
                  </w:pPr>
                  <w:r>
                    <w:rPr>
                      <w:sz w:val="20"/>
                    </w:rPr>
                    <w:t>316</w:t>
                  </w:r>
                </w:p>
              </w:tc>
              <w:tc>
                <w:tcPr>
                  <w:tcW w:w="575" w:type="dxa"/>
                  <w:tcMar>
                    <w:top w:w="15" w:type="dxa"/>
                    <w:left w:w="15" w:type="dxa"/>
                    <w:right w:w="15" w:type="dxa"/>
                  </w:tcMar>
                  <w:vAlign w:val="center"/>
                </w:tcPr>
                <w:p>
                  <w:pPr>
                    <w:tabs>
                      <w:tab w:val="left" w:pos="417"/>
                      <w:tab w:val="left" w:pos="3615"/>
                    </w:tabs>
                    <w:jc w:val="center"/>
                    <w:rPr>
                      <w:sz w:val="20"/>
                    </w:rPr>
                  </w:pPr>
                  <w:r>
                    <w:rPr>
                      <w:sz w:val="20"/>
                    </w:rPr>
                    <w:t>139</w:t>
                  </w:r>
                </w:p>
              </w:tc>
              <w:tc>
                <w:tcPr>
                  <w:tcW w:w="492" w:type="dxa"/>
                  <w:tcMar>
                    <w:top w:w="15" w:type="dxa"/>
                    <w:left w:w="15" w:type="dxa"/>
                    <w:right w:w="15" w:type="dxa"/>
                  </w:tcMar>
                  <w:vAlign w:val="center"/>
                </w:tcPr>
                <w:p>
                  <w:pPr>
                    <w:tabs>
                      <w:tab w:val="left" w:pos="417"/>
                      <w:tab w:val="left" w:pos="3615"/>
                    </w:tabs>
                    <w:jc w:val="center"/>
                    <w:rPr>
                      <w:sz w:val="20"/>
                    </w:rPr>
                  </w:pPr>
                  <w:r>
                    <w:rPr>
                      <w:sz w:val="20"/>
                    </w:rPr>
                    <w:t>15808</w:t>
                  </w:r>
                </w:p>
              </w:tc>
              <w:tc>
                <w:tcPr>
                  <w:tcW w:w="474" w:type="dxa"/>
                  <w:tcMar>
                    <w:top w:w="15" w:type="dxa"/>
                    <w:left w:w="15" w:type="dxa"/>
                    <w:right w:w="15" w:type="dxa"/>
                  </w:tcMar>
                  <w:vAlign w:val="center"/>
                </w:tcPr>
                <w:p>
                  <w:pPr>
                    <w:tabs>
                      <w:tab w:val="left" w:pos="417"/>
                      <w:tab w:val="left" w:pos="3615"/>
                    </w:tabs>
                    <w:jc w:val="center"/>
                    <w:rPr>
                      <w:sz w:val="20"/>
                    </w:rPr>
                  </w:pPr>
                  <w:r>
                    <w:rPr>
                      <w:sz w:val="20"/>
                    </w:rPr>
                    <w:t>7263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振兴</w:t>
                  </w:r>
                </w:p>
              </w:tc>
              <w:tc>
                <w:tcPr>
                  <w:tcW w:w="662" w:type="dxa"/>
                  <w:tcMar>
                    <w:top w:w="15" w:type="dxa"/>
                    <w:left w:w="15" w:type="dxa"/>
                    <w:right w:w="15" w:type="dxa"/>
                  </w:tcMar>
                  <w:vAlign w:val="center"/>
                </w:tcPr>
                <w:p>
                  <w:pPr>
                    <w:tabs>
                      <w:tab w:val="left" w:pos="417"/>
                      <w:tab w:val="left" w:pos="3615"/>
                    </w:tabs>
                    <w:jc w:val="center"/>
                    <w:rPr>
                      <w:sz w:val="20"/>
                    </w:rPr>
                  </w:pPr>
                  <w:r>
                    <w:rPr>
                      <w:sz w:val="20"/>
                    </w:rPr>
                    <w:t>振兴</w:t>
                  </w:r>
                </w:p>
              </w:tc>
              <w:tc>
                <w:tcPr>
                  <w:tcW w:w="425" w:type="dxa"/>
                  <w:tcMar>
                    <w:top w:w="15" w:type="dxa"/>
                    <w:left w:w="15" w:type="dxa"/>
                    <w:right w:w="15" w:type="dxa"/>
                  </w:tcMar>
                  <w:vAlign w:val="center"/>
                </w:tcPr>
                <w:p>
                  <w:pPr>
                    <w:tabs>
                      <w:tab w:val="left" w:pos="417"/>
                      <w:tab w:val="left" w:pos="3615"/>
                    </w:tabs>
                    <w:jc w:val="center"/>
                    <w:rPr>
                      <w:sz w:val="20"/>
                    </w:rPr>
                  </w:pPr>
                  <w:r>
                    <w:rPr>
                      <w:sz w:val="20"/>
                    </w:rPr>
                    <w:t>179</w:t>
                  </w:r>
                </w:p>
              </w:tc>
              <w:tc>
                <w:tcPr>
                  <w:tcW w:w="425" w:type="dxa"/>
                  <w:tcMar>
                    <w:top w:w="15" w:type="dxa"/>
                    <w:left w:w="15" w:type="dxa"/>
                    <w:right w:w="15" w:type="dxa"/>
                  </w:tcMar>
                  <w:vAlign w:val="center"/>
                </w:tcPr>
                <w:p>
                  <w:pPr>
                    <w:tabs>
                      <w:tab w:val="left" w:pos="417"/>
                      <w:tab w:val="left" w:pos="3615"/>
                    </w:tabs>
                    <w:jc w:val="center"/>
                    <w:rPr>
                      <w:sz w:val="20"/>
                    </w:rPr>
                  </w:pPr>
                  <w:r>
                    <w:rPr>
                      <w:sz w:val="20"/>
                    </w:rPr>
                    <w:t>179</w:t>
                  </w:r>
                </w:p>
              </w:tc>
              <w:tc>
                <w:tcPr>
                  <w:tcW w:w="425" w:type="dxa"/>
                  <w:tcMar>
                    <w:top w:w="15" w:type="dxa"/>
                    <w:left w:w="15" w:type="dxa"/>
                    <w:right w:w="15" w:type="dxa"/>
                  </w:tcMar>
                  <w:vAlign w:val="center"/>
                </w:tcPr>
                <w:p>
                  <w:pPr>
                    <w:tabs>
                      <w:tab w:val="left" w:pos="417"/>
                      <w:tab w:val="left" w:pos="3615"/>
                    </w:tabs>
                    <w:jc w:val="center"/>
                    <w:rPr>
                      <w:sz w:val="20"/>
                    </w:rPr>
                  </w:pPr>
                  <w:r>
                    <w:rPr>
                      <w:sz w:val="20"/>
                    </w:rPr>
                    <w:t>448</w:t>
                  </w:r>
                </w:p>
              </w:tc>
              <w:tc>
                <w:tcPr>
                  <w:tcW w:w="413" w:type="dxa"/>
                  <w:tcMar>
                    <w:top w:w="15" w:type="dxa"/>
                    <w:left w:w="15" w:type="dxa"/>
                    <w:right w:w="15" w:type="dxa"/>
                  </w:tcMar>
                  <w:vAlign w:val="center"/>
                </w:tcPr>
                <w:p>
                  <w:pPr>
                    <w:tabs>
                      <w:tab w:val="left" w:pos="417"/>
                      <w:tab w:val="left" w:pos="3615"/>
                    </w:tabs>
                    <w:jc w:val="center"/>
                    <w:rPr>
                      <w:sz w:val="20"/>
                    </w:rPr>
                  </w:pPr>
                  <w:r>
                    <w:rPr>
                      <w:sz w:val="20"/>
                    </w:rPr>
                    <w:t>448</w:t>
                  </w:r>
                </w:p>
              </w:tc>
              <w:tc>
                <w:tcPr>
                  <w:tcW w:w="450" w:type="dxa"/>
                  <w:tcMar>
                    <w:top w:w="15" w:type="dxa"/>
                    <w:left w:w="15" w:type="dxa"/>
                    <w:right w:w="15" w:type="dxa"/>
                  </w:tcMar>
                  <w:vAlign w:val="center"/>
                </w:tcPr>
                <w:p>
                  <w:pPr>
                    <w:tabs>
                      <w:tab w:val="left" w:pos="417"/>
                      <w:tab w:val="left" w:pos="3615"/>
                    </w:tabs>
                    <w:jc w:val="center"/>
                    <w:rPr>
                      <w:sz w:val="20"/>
                    </w:rPr>
                  </w:pPr>
                  <w:r>
                    <w:rPr>
                      <w:sz w:val="20"/>
                    </w:rPr>
                    <w:t>1074</w:t>
                  </w:r>
                </w:p>
              </w:tc>
              <w:tc>
                <w:tcPr>
                  <w:tcW w:w="387" w:type="dxa"/>
                  <w:tcMar>
                    <w:top w:w="15" w:type="dxa"/>
                    <w:left w:w="15" w:type="dxa"/>
                    <w:right w:w="15" w:type="dxa"/>
                  </w:tcMar>
                  <w:vAlign w:val="center"/>
                </w:tcPr>
                <w:p>
                  <w:pPr>
                    <w:tabs>
                      <w:tab w:val="left" w:pos="417"/>
                      <w:tab w:val="left" w:pos="3615"/>
                    </w:tabs>
                    <w:jc w:val="center"/>
                    <w:rPr>
                      <w:sz w:val="20"/>
                    </w:rPr>
                  </w:pPr>
                  <w:r>
                    <w:rPr>
                      <w:sz w:val="20"/>
                    </w:rPr>
                    <w:t>358</w:t>
                  </w:r>
                </w:p>
              </w:tc>
              <w:tc>
                <w:tcPr>
                  <w:tcW w:w="538" w:type="dxa"/>
                  <w:tcMar>
                    <w:top w:w="15" w:type="dxa"/>
                    <w:left w:w="15" w:type="dxa"/>
                    <w:right w:w="15" w:type="dxa"/>
                  </w:tcMar>
                  <w:vAlign w:val="center"/>
                </w:tcPr>
                <w:p>
                  <w:pPr>
                    <w:tabs>
                      <w:tab w:val="left" w:pos="417"/>
                      <w:tab w:val="left" w:pos="3615"/>
                    </w:tabs>
                    <w:jc w:val="center"/>
                    <w:rPr>
                      <w:sz w:val="20"/>
                    </w:rPr>
                  </w:pPr>
                  <w:r>
                    <w:rPr>
                      <w:sz w:val="20"/>
                    </w:rPr>
                    <w:t>2686</w:t>
                  </w:r>
                </w:p>
              </w:tc>
              <w:tc>
                <w:tcPr>
                  <w:tcW w:w="475" w:type="dxa"/>
                  <w:tcMar>
                    <w:top w:w="15" w:type="dxa"/>
                    <w:left w:w="15" w:type="dxa"/>
                    <w:right w:w="15" w:type="dxa"/>
                  </w:tcMar>
                  <w:vAlign w:val="center"/>
                </w:tcPr>
                <w:p>
                  <w:pPr>
                    <w:tabs>
                      <w:tab w:val="left" w:pos="417"/>
                      <w:tab w:val="left" w:pos="3615"/>
                    </w:tabs>
                    <w:jc w:val="center"/>
                    <w:rPr>
                      <w:sz w:val="20"/>
                    </w:rPr>
                  </w:pPr>
                  <w:r>
                    <w:rPr>
                      <w:sz w:val="20"/>
                    </w:rPr>
                    <w:t>895</w:t>
                  </w:r>
                </w:p>
              </w:tc>
              <w:tc>
                <w:tcPr>
                  <w:tcW w:w="437" w:type="dxa"/>
                  <w:tcMar>
                    <w:top w:w="15" w:type="dxa"/>
                    <w:left w:w="15" w:type="dxa"/>
                    <w:right w:w="15" w:type="dxa"/>
                  </w:tcMar>
                  <w:vAlign w:val="center"/>
                </w:tcPr>
                <w:p>
                  <w:pPr>
                    <w:tabs>
                      <w:tab w:val="left" w:pos="417"/>
                      <w:tab w:val="left" w:pos="3615"/>
                    </w:tabs>
                    <w:jc w:val="center"/>
                    <w:rPr>
                      <w:sz w:val="20"/>
                    </w:rPr>
                  </w:pPr>
                  <w:r>
                    <w:rPr>
                      <w:sz w:val="20"/>
                    </w:rPr>
                    <w:t>7</w:t>
                  </w:r>
                </w:p>
              </w:tc>
              <w:tc>
                <w:tcPr>
                  <w:tcW w:w="475" w:type="dxa"/>
                  <w:tcMar>
                    <w:top w:w="15" w:type="dxa"/>
                    <w:left w:w="15" w:type="dxa"/>
                    <w:right w:w="15" w:type="dxa"/>
                  </w:tcMar>
                  <w:vAlign w:val="center"/>
                </w:tcPr>
                <w:p>
                  <w:pPr>
                    <w:tabs>
                      <w:tab w:val="left" w:pos="417"/>
                      <w:tab w:val="left" w:pos="3615"/>
                    </w:tabs>
                    <w:jc w:val="center"/>
                    <w:rPr>
                      <w:sz w:val="20"/>
                    </w:rPr>
                  </w:pPr>
                  <w:r>
                    <w:rPr>
                      <w:sz w:val="20"/>
                    </w:rPr>
                    <w:t>36</w:t>
                  </w:r>
                </w:p>
              </w:tc>
              <w:tc>
                <w:tcPr>
                  <w:tcW w:w="425" w:type="dxa"/>
                  <w:tcMar>
                    <w:top w:w="15" w:type="dxa"/>
                    <w:left w:w="15" w:type="dxa"/>
                    <w:right w:w="15" w:type="dxa"/>
                  </w:tcMar>
                  <w:vAlign w:val="center"/>
                </w:tcPr>
                <w:p>
                  <w:pPr>
                    <w:tabs>
                      <w:tab w:val="left" w:pos="417"/>
                      <w:tab w:val="left" w:pos="3615"/>
                    </w:tabs>
                    <w:jc w:val="center"/>
                    <w:rPr>
                      <w:sz w:val="20"/>
                    </w:rPr>
                  </w:pPr>
                  <w:r>
                    <w:rPr>
                      <w:sz w:val="20"/>
                    </w:rPr>
                    <w:t>12</w:t>
                  </w:r>
                </w:p>
              </w:tc>
              <w:tc>
                <w:tcPr>
                  <w:tcW w:w="463" w:type="dxa"/>
                  <w:tcMar>
                    <w:top w:w="15" w:type="dxa"/>
                    <w:left w:w="15" w:type="dxa"/>
                    <w:right w:w="15" w:type="dxa"/>
                  </w:tcMar>
                  <w:vAlign w:val="center"/>
                </w:tcPr>
                <w:p>
                  <w:pPr>
                    <w:tabs>
                      <w:tab w:val="left" w:pos="417"/>
                      <w:tab w:val="left" w:pos="3615"/>
                    </w:tabs>
                    <w:jc w:val="center"/>
                    <w:rPr>
                      <w:sz w:val="20"/>
                    </w:rPr>
                  </w:pPr>
                  <w:r>
                    <w:rPr>
                      <w:sz w:val="20"/>
                    </w:rPr>
                    <w:t>41</w:t>
                  </w:r>
                </w:p>
              </w:tc>
              <w:tc>
                <w:tcPr>
                  <w:tcW w:w="475" w:type="dxa"/>
                  <w:tcMar>
                    <w:top w:w="15" w:type="dxa"/>
                    <w:left w:w="15" w:type="dxa"/>
                    <w:right w:w="15" w:type="dxa"/>
                  </w:tcMar>
                  <w:vAlign w:val="center"/>
                </w:tcPr>
                <w:p>
                  <w:pPr>
                    <w:tabs>
                      <w:tab w:val="left" w:pos="417"/>
                      <w:tab w:val="left" w:pos="3615"/>
                    </w:tabs>
                    <w:jc w:val="center"/>
                    <w:rPr>
                      <w:sz w:val="20"/>
                    </w:rPr>
                  </w:pPr>
                  <w:r>
                    <w:rPr>
                      <w:sz w:val="20"/>
                    </w:rPr>
                    <w:t>166</w:t>
                  </w:r>
                </w:p>
              </w:tc>
              <w:tc>
                <w:tcPr>
                  <w:tcW w:w="575" w:type="dxa"/>
                  <w:tcMar>
                    <w:top w:w="15" w:type="dxa"/>
                    <w:left w:w="15" w:type="dxa"/>
                    <w:right w:w="15" w:type="dxa"/>
                  </w:tcMar>
                  <w:vAlign w:val="center"/>
                </w:tcPr>
                <w:p>
                  <w:pPr>
                    <w:tabs>
                      <w:tab w:val="left" w:pos="417"/>
                      <w:tab w:val="left" w:pos="3615"/>
                    </w:tabs>
                    <w:jc w:val="center"/>
                    <w:rPr>
                      <w:sz w:val="20"/>
                    </w:rPr>
                  </w:pPr>
                  <w:r>
                    <w:rPr>
                      <w:sz w:val="20"/>
                    </w:rPr>
                    <w:t>73</w:t>
                  </w:r>
                </w:p>
              </w:tc>
              <w:tc>
                <w:tcPr>
                  <w:tcW w:w="492" w:type="dxa"/>
                  <w:tcMar>
                    <w:top w:w="15" w:type="dxa"/>
                    <w:left w:w="15" w:type="dxa"/>
                    <w:right w:w="15" w:type="dxa"/>
                  </w:tcMar>
                  <w:vAlign w:val="center"/>
                </w:tcPr>
                <w:p>
                  <w:pPr>
                    <w:tabs>
                      <w:tab w:val="left" w:pos="417"/>
                      <w:tab w:val="left" w:pos="3615"/>
                    </w:tabs>
                    <w:jc w:val="center"/>
                    <w:rPr>
                      <w:sz w:val="20"/>
                    </w:rPr>
                  </w:pPr>
                  <w:r>
                    <w:rPr>
                      <w:sz w:val="20"/>
                    </w:rPr>
                    <w:t>8282</w:t>
                  </w:r>
                </w:p>
              </w:tc>
              <w:tc>
                <w:tcPr>
                  <w:tcW w:w="474" w:type="dxa"/>
                  <w:tcMar>
                    <w:top w:w="15" w:type="dxa"/>
                    <w:left w:w="15" w:type="dxa"/>
                    <w:right w:w="15" w:type="dxa"/>
                  </w:tcMar>
                  <w:vAlign w:val="center"/>
                </w:tcPr>
                <w:p>
                  <w:pPr>
                    <w:tabs>
                      <w:tab w:val="left" w:pos="417"/>
                      <w:tab w:val="left" w:pos="3615"/>
                    </w:tabs>
                    <w:jc w:val="center"/>
                    <w:rPr>
                      <w:sz w:val="20"/>
                    </w:rPr>
                  </w:pPr>
                  <w:r>
                    <w:rPr>
                      <w:sz w:val="20"/>
                    </w:rPr>
                    <w:t>3805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风河村</w:t>
                  </w:r>
                </w:p>
              </w:tc>
              <w:tc>
                <w:tcPr>
                  <w:tcW w:w="662" w:type="dxa"/>
                  <w:tcMar>
                    <w:top w:w="15" w:type="dxa"/>
                    <w:left w:w="15" w:type="dxa"/>
                    <w:right w:w="15" w:type="dxa"/>
                  </w:tcMar>
                  <w:vAlign w:val="center"/>
                </w:tcPr>
                <w:p>
                  <w:pPr>
                    <w:tabs>
                      <w:tab w:val="left" w:pos="417"/>
                      <w:tab w:val="left" w:pos="3615"/>
                    </w:tabs>
                    <w:jc w:val="center"/>
                    <w:rPr>
                      <w:sz w:val="20"/>
                    </w:rPr>
                  </w:pPr>
                  <w:r>
                    <w:rPr>
                      <w:sz w:val="20"/>
                    </w:rPr>
                    <w:t>正生</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158</w:t>
                  </w:r>
                </w:p>
              </w:tc>
              <w:tc>
                <w:tcPr>
                  <w:tcW w:w="413" w:type="dxa"/>
                  <w:tcMar>
                    <w:top w:w="15" w:type="dxa"/>
                    <w:left w:w="15" w:type="dxa"/>
                    <w:right w:w="15" w:type="dxa"/>
                  </w:tcMar>
                  <w:vAlign w:val="center"/>
                </w:tcPr>
                <w:p>
                  <w:pPr>
                    <w:tabs>
                      <w:tab w:val="left" w:pos="417"/>
                      <w:tab w:val="left" w:pos="3615"/>
                    </w:tabs>
                    <w:jc w:val="center"/>
                    <w:rPr>
                      <w:sz w:val="20"/>
                    </w:rPr>
                  </w:pPr>
                  <w:r>
                    <w:rPr>
                      <w:sz w:val="20"/>
                    </w:rPr>
                    <w:t>158</w:t>
                  </w:r>
                </w:p>
              </w:tc>
              <w:tc>
                <w:tcPr>
                  <w:tcW w:w="450" w:type="dxa"/>
                  <w:tcMar>
                    <w:top w:w="15" w:type="dxa"/>
                    <w:left w:w="15" w:type="dxa"/>
                    <w:right w:w="15" w:type="dxa"/>
                  </w:tcMar>
                  <w:vAlign w:val="center"/>
                </w:tcPr>
                <w:p>
                  <w:pPr>
                    <w:tabs>
                      <w:tab w:val="left" w:pos="417"/>
                      <w:tab w:val="left" w:pos="3615"/>
                    </w:tabs>
                    <w:jc w:val="center"/>
                    <w:rPr>
                      <w:sz w:val="20"/>
                    </w:rPr>
                  </w:pPr>
                  <w:r>
                    <w:rPr>
                      <w:sz w:val="20"/>
                    </w:rPr>
                    <w:t>378</w:t>
                  </w:r>
                </w:p>
              </w:tc>
              <w:tc>
                <w:tcPr>
                  <w:tcW w:w="387" w:type="dxa"/>
                  <w:tcMar>
                    <w:top w:w="15" w:type="dxa"/>
                    <w:left w:w="15" w:type="dxa"/>
                    <w:right w:w="15" w:type="dxa"/>
                  </w:tcMar>
                  <w:vAlign w:val="center"/>
                </w:tcPr>
                <w:p>
                  <w:pPr>
                    <w:tabs>
                      <w:tab w:val="left" w:pos="417"/>
                      <w:tab w:val="left" w:pos="3615"/>
                    </w:tabs>
                    <w:jc w:val="center"/>
                    <w:rPr>
                      <w:sz w:val="20"/>
                    </w:rPr>
                  </w:pPr>
                  <w:r>
                    <w:rPr>
                      <w:sz w:val="20"/>
                    </w:rPr>
                    <w:t>126</w:t>
                  </w:r>
                </w:p>
              </w:tc>
              <w:tc>
                <w:tcPr>
                  <w:tcW w:w="538" w:type="dxa"/>
                  <w:tcMar>
                    <w:top w:w="15" w:type="dxa"/>
                    <w:left w:w="15" w:type="dxa"/>
                    <w:right w:w="15" w:type="dxa"/>
                  </w:tcMar>
                  <w:vAlign w:val="center"/>
                </w:tcPr>
                <w:p>
                  <w:pPr>
                    <w:tabs>
                      <w:tab w:val="left" w:pos="417"/>
                      <w:tab w:val="left" w:pos="3615"/>
                    </w:tabs>
                    <w:jc w:val="center"/>
                    <w:rPr>
                      <w:sz w:val="20"/>
                    </w:rPr>
                  </w:pPr>
                  <w:r>
                    <w:rPr>
                      <w:sz w:val="20"/>
                    </w:rPr>
                    <w:t>945</w:t>
                  </w:r>
                </w:p>
              </w:tc>
              <w:tc>
                <w:tcPr>
                  <w:tcW w:w="475" w:type="dxa"/>
                  <w:tcMar>
                    <w:top w:w="15" w:type="dxa"/>
                    <w:left w:w="15" w:type="dxa"/>
                    <w:right w:w="15" w:type="dxa"/>
                  </w:tcMar>
                  <w:vAlign w:val="center"/>
                </w:tcPr>
                <w:p>
                  <w:pPr>
                    <w:tabs>
                      <w:tab w:val="left" w:pos="417"/>
                      <w:tab w:val="left" w:pos="3615"/>
                    </w:tabs>
                    <w:jc w:val="center"/>
                    <w:rPr>
                      <w:sz w:val="20"/>
                    </w:rPr>
                  </w:pPr>
                  <w:r>
                    <w:rPr>
                      <w:sz w:val="20"/>
                    </w:rPr>
                    <w:t>315</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58</w:t>
                  </w:r>
                </w:p>
              </w:tc>
              <w:tc>
                <w:tcPr>
                  <w:tcW w:w="575" w:type="dxa"/>
                  <w:tcMar>
                    <w:top w:w="15" w:type="dxa"/>
                    <w:left w:w="15" w:type="dxa"/>
                    <w:right w:w="15" w:type="dxa"/>
                  </w:tcMar>
                  <w:vAlign w:val="center"/>
                </w:tcPr>
                <w:p>
                  <w:pPr>
                    <w:tabs>
                      <w:tab w:val="left" w:pos="417"/>
                      <w:tab w:val="left" w:pos="3615"/>
                    </w:tabs>
                    <w:jc w:val="center"/>
                    <w:rPr>
                      <w:sz w:val="20"/>
                    </w:rPr>
                  </w:pPr>
                  <w:r>
                    <w:rPr>
                      <w:sz w:val="20"/>
                    </w:rPr>
                    <w:t>26</w:t>
                  </w:r>
                </w:p>
              </w:tc>
              <w:tc>
                <w:tcPr>
                  <w:tcW w:w="492" w:type="dxa"/>
                  <w:tcMar>
                    <w:top w:w="15" w:type="dxa"/>
                    <w:left w:w="15" w:type="dxa"/>
                    <w:right w:w="15" w:type="dxa"/>
                  </w:tcMar>
                  <w:vAlign w:val="center"/>
                </w:tcPr>
                <w:p>
                  <w:pPr>
                    <w:tabs>
                      <w:tab w:val="left" w:pos="417"/>
                      <w:tab w:val="left" w:pos="3615"/>
                    </w:tabs>
                    <w:jc w:val="center"/>
                    <w:rPr>
                      <w:sz w:val="20"/>
                    </w:rPr>
                  </w:pPr>
                  <w:r>
                    <w:rPr>
                      <w:sz w:val="20"/>
                    </w:rPr>
                    <w:t>2914</w:t>
                  </w:r>
                </w:p>
              </w:tc>
              <w:tc>
                <w:tcPr>
                  <w:tcW w:w="474" w:type="dxa"/>
                  <w:tcMar>
                    <w:top w:w="15" w:type="dxa"/>
                    <w:left w:w="15" w:type="dxa"/>
                    <w:right w:w="15" w:type="dxa"/>
                  </w:tcMar>
                  <w:vAlign w:val="center"/>
                </w:tcPr>
                <w:p>
                  <w:pPr>
                    <w:tabs>
                      <w:tab w:val="left" w:pos="417"/>
                      <w:tab w:val="left" w:pos="3615"/>
                    </w:tabs>
                    <w:jc w:val="center"/>
                    <w:rPr>
                      <w:sz w:val="20"/>
                    </w:rPr>
                  </w:pPr>
                  <w:r>
                    <w:rPr>
                      <w:sz w:val="20"/>
                    </w:rPr>
                    <w:t>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大村</w:t>
                  </w:r>
                </w:p>
              </w:tc>
              <w:tc>
                <w:tcPr>
                  <w:tcW w:w="425" w:type="dxa"/>
                  <w:tcMar>
                    <w:top w:w="15" w:type="dxa"/>
                    <w:left w:w="15" w:type="dxa"/>
                    <w:right w:w="15" w:type="dxa"/>
                  </w:tcMar>
                  <w:vAlign w:val="center"/>
                </w:tcPr>
                <w:p>
                  <w:pPr>
                    <w:tabs>
                      <w:tab w:val="left" w:pos="417"/>
                      <w:tab w:val="left" w:pos="3615"/>
                    </w:tabs>
                    <w:jc w:val="center"/>
                    <w:rPr>
                      <w:sz w:val="20"/>
                    </w:rPr>
                  </w:pPr>
                  <w:r>
                    <w:rPr>
                      <w:sz w:val="20"/>
                    </w:rPr>
                    <w:t>78</w:t>
                  </w:r>
                </w:p>
              </w:tc>
              <w:tc>
                <w:tcPr>
                  <w:tcW w:w="425" w:type="dxa"/>
                  <w:tcMar>
                    <w:top w:w="15" w:type="dxa"/>
                    <w:left w:w="15" w:type="dxa"/>
                    <w:right w:w="15" w:type="dxa"/>
                  </w:tcMar>
                  <w:vAlign w:val="center"/>
                </w:tcPr>
                <w:p>
                  <w:pPr>
                    <w:tabs>
                      <w:tab w:val="left" w:pos="417"/>
                      <w:tab w:val="left" w:pos="3615"/>
                    </w:tabs>
                    <w:jc w:val="center"/>
                    <w:rPr>
                      <w:sz w:val="20"/>
                    </w:rPr>
                  </w:pPr>
                  <w:r>
                    <w:rPr>
                      <w:sz w:val="20"/>
                    </w:rPr>
                    <w:t>78</w:t>
                  </w:r>
                </w:p>
              </w:tc>
              <w:tc>
                <w:tcPr>
                  <w:tcW w:w="425" w:type="dxa"/>
                  <w:tcMar>
                    <w:top w:w="15" w:type="dxa"/>
                    <w:left w:w="15" w:type="dxa"/>
                    <w:right w:w="15" w:type="dxa"/>
                  </w:tcMar>
                  <w:vAlign w:val="center"/>
                </w:tcPr>
                <w:p>
                  <w:pPr>
                    <w:tabs>
                      <w:tab w:val="left" w:pos="417"/>
                      <w:tab w:val="left" w:pos="3615"/>
                    </w:tabs>
                    <w:jc w:val="center"/>
                    <w:rPr>
                      <w:sz w:val="20"/>
                    </w:rPr>
                  </w:pPr>
                  <w:r>
                    <w:rPr>
                      <w:sz w:val="20"/>
                    </w:rPr>
                    <w:t>195</w:t>
                  </w:r>
                </w:p>
              </w:tc>
              <w:tc>
                <w:tcPr>
                  <w:tcW w:w="413" w:type="dxa"/>
                  <w:tcMar>
                    <w:top w:w="15" w:type="dxa"/>
                    <w:left w:w="15" w:type="dxa"/>
                    <w:right w:w="15" w:type="dxa"/>
                  </w:tcMar>
                  <w:vAlign w:val="center"/>
                </w:tcPr>
                <w:p>
                  <w:pPr>
                    <w:tabs>
                      <w:tab w:val="left" w:pos="417"/>
                      <w:tab w:val="left" w:pos="3615"/>
                    </w:tabs>
                    <w:jc w:val="center"/>
                    <w:rPr>
                      <w:sz w:val="20"/>
                    </w:rPr>
                  </w:pPr>
                  <w:r>
                    <w:rPr>
                      <w:sz w:val="20"/>
                    </w:rPr>
                    <w:t>195</w:t>
                  </w:r>
                </w:p>
              </w:tc>
              <w:tc>
                <w:tcPr>
                  <w:tcW w:w="450" w:type="dxa"/>
                  <w:tcMar>
                    <w:top w:w="15" w:type="dxa"/>
                    <w:left w:w="15" w:type="dxa"/>
                    <w:right w:w="15" w:type="dxa"/>
                  </w:tcMar>
                  <w:vAlign w:val="center"/>
                </w:tcPr>
                <w:p>
                  <w:pPr>
                    <w:tabs>
                      <w:tab w:val="left" w:pos="417"/>
                      <w:tab w:val="left" w:pos="3615"/>
                    </w:tabs>
                    <w:jc w:val="center"/>
                    <w:rPr>
                      <w:sz w:val="20"/>
                    </w:rPr>
                  </w:pPr>
                  <w:r>
                    <w:rPr>
                      <w:sz w:val="20"/>
                    </w:rPr>
                    <w:t>469</w:t>
                  </w:r>
                </w:p>
              </w:tc>
              <w:tc>
                <w:tcPr>
                  <w:tcW w:w="387" w:type="dxa"/>
                  <w:tcMar>
                    <w:top w:w="15" w:type="dxa"/>
                    <w:left w:w="15" w:type="dxa"/>
                    <w:right w:w="15" w:type="dxa"/>
                  </w:tcMar>
                  <w:vAlign w:val="center"/>
                </w:tcPr>
                <w:p>
                  <w:pPr>
                    <w:tabs>
                      <w:tab w:val="left" w:pos="417"/>
                      <w:tab w:val="left" w:pos="3615"/>
                    </w:tabs>
                    <w:jc w:val="center"/>
                    <w:rPr>
                      <w:sz w:val="20"/>
                    </w:rPr>
                  </w:pPr>
                  <w:r>
                    <w:rPr>
                      <w:sz w:val="20"/>
                    </w:rPr>
                    <w:t>156</w:t>
                  </w:r>
                </w:p>
              </w:tc>
              <w:tc>
                <w:tcPr>
                  <w:tcW w:w="538" w:type="dxa"/>
                  <w:tcMar>
                    <w:top w:w="15" w:type="dxa"/>
                    <w:left w:w="15" w:type="dxa"/>
                    <w:right w:w="15" w:type="dxa"/>
                  </w:tcMar>
                  <w:vAlign w:val="center"/>
                </w:tcPr>
                <w:p>
                  <w:pPr>
                    <w:tabs>
                      <w:tab w:val="left" w:pos="417"/>
                      <w:tab w:val="left" w:pos="3615"/>
                    </w:tabs>
                    <w:jc w:val="center"/>
                    <w:rPr>
                      <w:sz w:val="20"/>
                    </w:rPr>
                  </w:pPr>
                  <w:r>
                    <w:rPr>
                      <w:sz w:val="20"/>
                    </w:rPr>
                    <w:t>1172</w:t>
                  </w:r>
                </w:p>
              </w:tc>
              <w:tc>
                <w:tcPr>
                  <w:tcW w:w="475" w:type="dxa"/>
                  <w:tcMar>
                    <w:top w:w="15" w:type="dxa"/>
                    <w:left w:w="15" w:type="dxa"/>
                    <w:right w:w="15" w:type="dxa"/>
                  </w:tcMar>
                  <w:vAlign w:val="center"/>
                </w:tcPr>
                <w:p>
                  <w:pPr>
                    <w:tabs>
                      <w:tab w:val="left" w:pos="417"/>
                      <w:tab w:val="left" w:pos="3615"/>
                    </w:tabs>
                    <w:jc w:val="center"/>
                    <w:rPr>
                      <w:sz w:val="20"/>
                    </w:rPr>
                  </w:pPr>
                  <w:r>
                    <w:rPr>
                      <w:sz w:val="20"/>
                    </w:rPr>
                    <w:t>391</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16</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18</w:t>
                  </w:r>
                </w:p>
              </w:tc>
              <w:tc>
                <w:tcPr>
                  <w:tcW w:w="475" w:type="dxa"/>
                  <w:tcMar>
                    <w:top w:w="15" w:type="dxa"/>
                    <w:left w:w="15" w:type="dxa"/>
                    <w:right w:w="15" w:type="dxa"/>
                  </w:tcMar>
                  <w:vAlign w:val="center"/>
                </w:tcPr>
                <w:p>
                  <w:pPr>
                    <w:tabs>
                      <w:tab w:val="left" w:pos="417"/>
                      <w:tab w:val="left" w:pos="3615"/>
                    </w:tabs>
                    <w:jc w:val="center"/>
                    <w:rPr>
                      <w:sz w:val="20"/>
                    </w:rPr>
                  </w:pPr>
                  <w:r>
                    <w:rPr>
                      <w:sz w:val="20"/>
                    </w:rPr>
                    <w:t>72</w:t>
                  </w:r>
                </w:p>
              </w:tc>
              <w:tc>
                <w:tcPr>
                  <w:tcW w:w="575" w:type="dxa"/>
                  <w:tcMar>
                    <w:top w:w="15" w:type="dxa"/>
                    <w:left w:w="15" w:type="dxa"/>
                    <w:right w:w="15" w:type="dxa"/>
                  </w:tcMar>
                  <w:vAlign w:val="center"/>
                </w:tcPr>
                <w:p>
                  <w:pPr>
                    <w:tabs>
                      <w:tab w:val="left" w:pos="417"/>
                      <w:tab w:val="left" w:pos="3615"/>
                    </w:tabs>
                    <w:jc w:val="center"/>
                    <w:rPr>
                      <w:sz w:val="20"/>
                    </w:rPr>
                  </w:pPr>
                  <w:r>
                    <w:rPr>
                      <w:sz w:val="20"/>
                    </w:rPr>
                    <w:t>32</w:t>
                  </w:r>
                </w:p>
              </w:tc>
              <w:tc>
                <w:tcPr>
                  <w:tcW w:w="492" w:type="dxa"/>
                  <w:tcMar>
                    <w:top w:w="15" w:type="dxa"/>
                    <w:left w:w="15" w:type="dxa"/>
                    <w:right w:w="15" w:type="dxa"/>
                  </w:tcMar>
                  <w:vAlign w:val="center"/>
                </w:tcPr>
                <w:p>
                  <w:pPr>
                    <w:tabs>
                      <w:tab w:val="left" w:pos="417"/>
                      <w:tab w:val="left" w:pos="3615"/>
                    </w:tabs>
                    <w:jc w:val="center"/>
                    <w:rPr>
                      <w:sz w:val="20"/>
                    </w:rPr>
                  </w:pPr>
                  <w:r>
                    <w:rPr>
                      <w:sz w:val="20"/>
                    </w:rPr>
                    <w:t>3613</w:t>
                  </w:r>
                </w:p>
              </w:tc>
              <w:tc>
                <w:tcPr>
                  <w:tcW w:w="474" w:type="dxa"/>
                  <w:tcMar>
                    <w:top w:w="15" w:type="dxa"/>
                    <w:left w:w="15" w:type="dxa"/>
                    <w:right w:w="15" w:type="dxa"/>
                  </w:tcMar>
                  <w:vAlign w:val="center"/>
                </w:tcPr>
                <w:p>
                  <w:pPr>
                    <w:tabs>
                      <w:tab w:val="left" w:pos="417"/>
                      <w:tab w:val="left" w:pos="3615"/>
                    </w:tabs>
                    <w:jc w:val="center"/>
                    <w:rPr>
                      <w:sz w:val="20"/>
                    </w:rPr>
                  </w:pPr>
                  <w:r>
                    <w:rPr>
                      <w:sz w:val="20"/>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江登村</w:t>
                  </w:r>
                </w:p>
              </w:tc>
              <w:tc>
                <w:tcPr>
                  <w:tcW w:w="662" w:type="dxa"/>
                  <w:tcMar>
                    <w:top w:w="15" w:type="dxa"/>
                    <w:left w:w="15" w:type="dxa"/>
                    <w:right w:w="15" w:type="dxa"/>
                  </w:tcMar>
                  <w:vAlign w:val="center"/>
                </w:tcPr>
                <w:p>
                  <w:pPr>
                    <w:tabs>
                      <w:tab w:val="left" w:pos="417"/>
                      <w:tab w:val="left" w:pos="3615"/>
                    </w:tabs>
                    <w:jc w:val="center"/>
                    <w:rPr>
                      <w:sz w:val="20"/>
                    </w:rPr>
                  </w:pPr>
                  <w:r>
                    <w:rPr>
                      <w:sz w:val="20"/>
                    </w:rPr>
                    <w:t>江登</w:t>
                  </w:r>
                </w:p>
              </w:tc>
              <w:tc>
                <w:tcPr>
                  <w:tcW w:w="425" w:type="dxa"/>
                  <w:tcMar>
                    <w:top w:w="15" w:type="dxa"/>
                    <w:left w:w="15" w:type="dxa"/>
                    <w:right w:w="15" w:type="dxa"/>
                  </w:tcMar>
                  <w:vAlign w:val="center"/>
                </w:tcPr>
                <w:p>
                  <w:pPr>
                    <w:tabs>
                      <w:tab w:val="left" w:pos="417"/>
                      <w:tab w:val="left" w:pos="3615"/>
                    </w:tabs>
                    <w:jc w:val="center"/>
                    <w:rPr>
                      <w:sz w:val="20"/>
                    </w:rPr>
                  </w:pPr>
                  <w:r>
                    <w:rPr>
                      <w:sz w:val="20"/>
                    </w:rPr>
                    <w:t>138</w:t>
                  </w:r>
                </w:p>
              </w:tc>
              <w:tc>
                <w:tcPr>
                  <w:tcW w:w="425" w:type="dxa"/>
                  <w:tcMar>
                    <w:top w:w="15" w:type="dxa"/>
                    <w:left w:w="15" w:type="dxa"/>
                    <w:right w:w="15" w:type="dxa"/>
                  </w:tcMar>
                  <w:vAlign w:val="center"/>
                </w:tcPr>
                <w:p>
                  <w:pPr>
                    <w:tabs>
                      <w:tab w:val="left" w:pos="417"/>
                      <w:tab w:val="left" w:pos="3615"/>
                    </w:tabs>
                    <w:jc w:val="center"/>
                    <w:rPr>
                      <w:sz w:val="20"/>
                    </w:rPr>
                  </w:pPr>
                  <w:r>
                    <w:rPr>
                      <w:sz w:val="20"/>
                    </w:rPr>
                    <w:t>138</w:t>
                  </w:r>
                </w:p>
              </w:tc>
              <w:tc>
                <w:tcPr>
                  <w:tcW w:w="425" w:type="dxa"/>
                  <w:tcMar>
                    <w:top w:w="15" w:type="dxa"/>
                    <w:left w:w="15" w:type="dxa"/>
                    <w:right w:w="15" w:type="dxa"/>
                  </w:tcMar>
                  <w:vAlign w:val="center"/>
                </w:tcPr>
                <w:p>
                  <w:pPr>
                    <w:tabs>
                      <w:tab w:val="left" w:pos="417"/>
                      <w:tab w:val="left" w:pos="3615"/>
                    </w:tabs>
                    <w:jc w:val="center"/>
                    <w:rPr>
                      <w:sz w:val="20"/>
                    </w:rPr>
                  </w:pPr>
                  <w:r>
                    <w:rPr>
                      <w:sz w:val="20"/>
                    </w:rPr>
                    <w:t>346</w:t>
                  </w:r>
                </w:p>
              </w:tc>
              <w:tc>
                <w:tcPr>
                  <w:tcW w:w="413" w:type="dxa"/>
                  <w:tcMar>
                    <w:top w:w="15" w:type="dxa"/>
                    <w:left w:w="15" w:type="dxa"/>
                    <w:right w:w="15" w:type="dxa"/>
                  </w:tcMar>
                  <w:vAlign w:val="center"/>
                </w:tcPr>
                <w:p>
                  <w:pPr>
                    <w:tabs>
                      <w:tab w:val="left" w:pos="417"/>
                      <w:tab w:val="left" w:pos="3615"/>
                    </w:tabs>
                    <w:jc w:val="center"/>
                    <w:rPr>
                      <w:sz w:val="20"/>
                    </w:rPr>
                  </w:pPr>
                  <w:r>
                    <w:rPr>
                      <w:sz w:val="20"/>
                    </w:rPr>
                    <w:t>346</w:t>
                  </w:r>
                </w:p>
              </w:tc>
              <w:tc>
                <w:tcPr>
                  <w:tcW w:w="450" w:type="dxa"/>
                  <w:tcMar>
                    <w:top w:w="15" w:type="dxa"/>
                    <w:left w:w="15" w:type="dxa"/>
                    <w:right w:w="15" w:type="dxa"/>
                  </w:tcMar>
                  <w:vAlign w:val="center"/>
                </w:tcPr>
                <w:p>
                  <w:pPr>
                    <w:tabs>
                      <w:tab w:val="left" w:pos="417"/>
                      <w:tab w:val="left" w:pos="3615"/>
                    </w:tabs>
                    <w:jc w:val="center"/>
                    <w:rPr>
                      <w:sz w:val="20"/>
                    </w:rPr>
                  </w:pPr>
                  <w:r>
                    <w:rPr>
                      <w:sz w:val="20"/>
                    </w:rPr>
                    <w:t>830</w:t>
                  </w:r>
                </w:p>
              </w:tc>
              <w:tc>
                <w:tcPr>
                  <w:tcW w:w="387" w:type="dxa"/>
                  <w:tcMar>
                    <w:top w:w="15" w:type="dxa"/>
                    <w:left w:w="15" w:type="dxa"/>
                    <w:right w:w="15" w:type="dxa"/>
                  </w:tcMar>
                  <w:vAlign w:val="center"/>
                </w:tcPr>
                <w:p>
                  <w:pPr>
                    <w:tabs>
                      <w:tab w:val="left" w:pos="417"/>
                      <w:tab w:val="left" w:pos="3615"/>
                    </w:tabs>
                    <w:jc w:val="center"/>
                    <w:rPr>
                      <w:sz w:val="20"/>
                    </w:rPr>
                  </w:pPr>
                  <w:r>
                    <w:rPr>
                      <w:sz w:val="20"/>
                    </w:rPr>
                    <w:t>277</w:t>
                  </w:r>
                </w:p>
              </w:tc>
              <w:tc>
                <w:tcPr>
                  <w:tcW w:w="538" w:type="dxa"/>
                  <w:tcMar>
                    <w:top w:w="15" w:type="dxa"/>
                    <w:left w:w="15" w:type="dxa"/>
                    <w:right w:w="15" w:type="dxa"/>
                  </w:tcMar>
                  <w:vAlign w:val="center"/>
                </w:tcPr>
                <w:p>
                  <w:pPr>
                    <w:tabs>
                      <w:tab w:val="left" w:pos="417"/>
                      <w:tab w:val="left" w:pos="3615"/>
                    </w:tabs>
                    <w:jc w:val="center"/>
                    <w:rPr>
                      <w:sz w:val="20"/>
                    </w:rPr>
                  </w:pPr>
                  <w:r>
                    <w:rPr>
                      <w:sz w:val="20"/>
                    </w:rPr>
                    <w:t>2075</w:t>
                  </w:r>
                </w:p>
              </w:tc>
              <w:tc>
                <w:tcPr>
                  <w:tcW w:w="475" w:type="dxa"/>
                  <w:tcMar>
                    <w:top w:w="15" w:type="dxa"/>
                    <w:left w:w="15" w:type="dxa"/>
                    <w:right w:w="15" w:type="dxa"/>
                  </w:tcMar>
                  <w:vAlign w:val="center"/>
                </w:tcPr>
                <w:p>
                  <w:pPr>
                    <w:tabs>
                      <w:tab w:val="left" w:pos="417"/>
                      <w:tab w:val="left" w:pos="3615"/>
                    </w:tabs>
                    <w:jc w:val="center"/>
                    <w:rPr>
                      <w:sz w:val="20"/>
                    </w:rPr>
                  </w:pPr>
                  <w:r>
                    <w:rPr>
                      <w:sz w:val="20"/>
                    </w:rPr>
                    <w:t>692</w:t>
                  </w:r>
                </w:p>
              </w:tc>
              <w:tc>
                <w:tcPr>
                  <w:tcW w:w="437" w:type="dxa"/>
                  <w:tcMar>
                    <w:top w:w="15" w:type="dxa"/>
                    <w:left w:w="15" w:type="dxa"/>
                    <w:right w:w="15" w:type="dxa"/>
                  </w:tcMar>
                  <w:vAlign w:val="center"/>
                </w:tcPr>
                <w:p>
                  <w:pPr>
                    <w:tabs>
                      <w:tab w:val="left" w:pos="417"/>
                      <w:tab w:val="left" w:pos="3615"/>
                    </w:tabs>
                    <w:jc w:val="center"/>
                    <w:rPr>
                      <w:sz w:val="20"/>
                    </w:rPr>
                  </w:pPr>
                  <w:r>
                    <w:rPr>
                      <w:sz w:val="20"/>
                    </w:rPr>
                    <w:t>6</w:t>
                  </w:r>
                </w:p>
              </w:tc>
              <w:tc>
                <w:tcPr>
                  <w:tcW w:w="475" w:type="dxa"/>
                  <w:tcMar>
                    <w:top w:w="15" w:type="dxa"/>
                    <w:left w:w="15" w:type="dxa"/>
                    <w:right w:w="15" w:type="dxa"/>
                  </w:tcMar>
                  <w:vAlign w:val="center"/>
                </w:tcPr>
                <w:p>
                  <w:pPr>
                    <w:tabs>
                      <w:tab w:val="left" w:pos="417"/>
                      <w:tab w:val="left" w:pos="3615"/>
                    </w:tabs>
                    <w:jc w:val="center"/>
                    <w:rPr>
                      <w:sz w:val="20"/>
                    </w:rPr>
                  </w:pPr>
                  <w:r>
                    <w:rPr>
                      <w:sz w:val="20"/>
                    </w:rPr>
                    <w:t>28</w:t>
                  </w:r>
                </w:p>
              </w:tc>
              <w:tc>
                <w:tcPr>
                  <w:tcW w:w="425" w:type="dxa"/>
                  <w:tcMar>
                    <w:top w:w="15" w:type="dxa"/>
                    <w:left w:w="15" w:type="dxa"/>
                    <w:right w:w="15" w:type="dxa"/>
                  </w:tcMar>
                  <w:vAlign w:val="center"/>
                </w:tcPr>
                <w:p>
                  <w:pPr>
                    <w:tabs>
                      <w:tab w:val="left" w:pos="417"/>
                      <w:tab w:val="left" w:pos="3615"/>
                    </w:tabs>
                    <w:jc w:val="center"/>
                    <w:rPr>
                      <w:sz w:val="20"/>
                    </w:rPr>
                  </w:pPr>
                  <w:r>
                    <w:rPr>
                      <w:sz w:val="20"/>
                    </w:rPr>
                    <w:t>9</w:t>
                  </w:r>
                </w:p>
              </w:tc>
              <w:tc>
                <w:tcPr>
                  <w:tcW w:w="463" w:type="dxa"/>
                  <w:tcMar>
                    <w:top w:w="15" w:type="dxa"/>
                    <w:left w:w="15" w:type="dxa"/>
                    <w:right w:w="15" w:type="dxa"/>
                  </w:tcMar>
                  <w:vAlign w:val="center"/>
                </w:tcPr>
                <w:p>
                  <w:pPr>
                    <w:tabs>
                      <w:tab w:val="left" w:pos="417"/>
                      <w:tab w:val="left" w:pos="3615"/>
                    </w:tabs>
                    <w:jc w:val="center"/>
                    <w:rPr>
                      <w:sz w:val="20"/>
                    </w:rPr>
                  </w:pPr>
                  <w:r>
                    <w:rPr>
                      <w:sz w:val="20"/>
                    </w:rPr>
                    <w:t>32</w:t>
                  </w:r>
                </w:p>
              </w:tc>
              <w:tc>
                <w:tcPr>
                  <w:tcW w:w="475" w:type="dxa"/>
                  <w:tcMar>
                    <w:top w:w="15" w:type="dxa"/>
                    <w:left w:w="15" w:type="dxa"/>
                    <w:right w:w="15" w:type="dxa"/>
                  </w:tcMar>
                  <w:vAlign w:val="center"/>
                </w:tcPr>
                <w:p>
                  <w:pPr>
                    <w:tabs>
                      <w:tab w:val="left" w:pos="417"/>
                      <w:tab w:val="left" w:pos="3615"/>
                    </w:tabs>
                    <w:jc w:val="center"/>
                    <w:rPr>
                      <w:sz w:val="20"/>
                    </w:rPr>
                  </w:pPr>
                  <w:r>
                    <w:rPr>
                      <w:sz w:val="20"/>
                    </w:rPr>
                    <w:t>128</w:t>
                  </w:r>
                </w:p>
              </w:tc>
              <w:tc>
                <w:tcPr>
                  <w:tcW w:w="575" w:type="dxa"/>
                  <w:tcMar>
                    <w:top w:w="15" w:type="dxa"/>
                    <w:left w:w="15" w:type="dxa"/>
                    <w:right w:w="15" w:type="dxa"/>
                  </w:tcMar>
                  <w:vAlign w:val="center"/>
                </w:tcPr>
                <w:p>
                  <w:pPr>
                    <w:tabs>
                      <w:tab w:val="left" w:pos="417"/>
                      <w:tab w:val="left" w:pos="3615"/>
                    </w:tabs>
                    <w:jc w:val="center"/>
                    <w:rPr>
                      <w:sz w:val="20"/>
                    </w:rPr>
                  </w:pPr>
                  <w:r>
                    <w:rPr>
                      <w:sz w:val="20"/>
                    </w:rPr>
                    <w:t>56</w:t>
                  </w:r>
                </w:p>
              </w:tc>
              <w:tc>
                <w:tcPr>
                  <w:tcW w:w="492" w:type="dxa"/>
                  <w:tcMar>
                    <w:top w:w="15" w:type="dxa"/>
                    <w:left w:w="15" w:type="dxa"/>
                    <w:right w:w="15" w:type="dxa"/>
                  </w:tcMar>
                  <w:vAlign w:val="center"/>
                </w:tcPr>
                <w:p>
                  <w:pPr>
                    <w:tabs>
                      <w:tab w:val="left" w:pos="417"/>
                      <w:tab w:val="left" w:pos="3615"/>
                    </w:tabs>
                    <w:jc w:val="center"/>
                    <w:rPr>
                      <w:sz w:val="20"/>
                    </w:rPr>
                  </w:pPr>
                  <w:r>
                    <w:rPr>
                      <w:sz w:val="20"/>
                    </w:rPr>
                    <w:t>6399</w:t>
                  </w:r>
                </w:p>
              </w:tc>
              <w:tc>
                <w:tcPr>
                  <w:tcW w:w="474" w:type="dxa"/>
                  <w:tcMar>
                    <w:top w:w="15" w:type="dxa"/>
                    <w:left w:w="15" w:type="dxa"/>
                    <w:right w:w="15" w:type="dxa"/>
                  </w:tcMar>
                  <w:vAlign w:val="center"/>
                </w:tcPr>
                <w:p>
                  <w:pPr>
                    <w:tabs>
                      <w:tab w:val="left" w:pos="417"/>
                      <w:tab w:val="left" w:pos="3615"/>
                    </w:tabs>
                    <w:jc w:val="center"/>
                    <w:rPr>
                      <w:sz w:val="20"/>
                    </w:rPr>
                  </w:pPr>
                  <w:r>
                    <w:rPr>
                      <w:sz w:val="20"/>
                    </w:rPr>
                    <w:t>2940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上寺</w:t>
                  </w:r>
                </w:p>
              </w:tc>
              <w:tc>
                <w:tcPr>
                  <w:tcW w:w="662" w:type="dxa"/>
                  <w:tcMar>
                    <w:top w:w="15" w:type="dxa"/>
                    <w:left w:w="15" w:type="dxa"/>
                    <w:right w:w="15" w:type="dxa"/>
                  </w:tcMar>
                  <w:vAlign w:val="center"/>
                </w:tcPr>
                <w:p>
                  <w:pPr>
                    <w:tabs>
                      <w:tab w:val="left" w:pos="417"/>
                      <w:tab w:val="left" w:pos="3615"/>
                    </w:tabs>
                    <w:jc w:val="center"/>
                    <w:rPr>
                      <w:sz w:val="20"/>
                    </w:rPr>
                  </w:pPr>
                  <w:r>
                    <w:rPr>
                      <w:sz w:val="20"/>
                    </w:rPr>
                    <w:t>旧邑</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85</w:t>
                  </w:r>
                </w:p>
              </w:tc>
              <w:tc>
                <w:tcPr>
                  <w:tcW w:w="413" w:type="dxa"/>
                  <w:tcMar>
                    <w:top w:w="15" w:type="dxa"/>
                    <w:left w:w="15" w:type="dxa"/>
                    <w:right w:w="15" w:type="dxa"/>
                  </w:tcMar>
                  <w:vAlign w:val="center"/>
                </w:tcPr>
                <w:p>
                  <w:pPr>
                    <w:tabs>
                      <w:tab w:val="left" w:pos="417"/>
                      <w:tab w:val="left" w:pos="3615"/>
                    </w:tabs>
                    <w:jc w:val="center"/>
                    <w:rPr>
                      <w:sz w:val="20"/>
                    </w:rPr>
                  </w:pPr>
                  <w:r>
                    <w:rPr>
                      <w:sz w:val="20"/>
                    </w:rPr>
                    <w:t>85</w:t>
                  </w:r>
                </w:p>
              </w:tc>
              <w:tc>
                <w:tcPr>
                  <w:tcW w:w="450" w:type="dxa"/>
                  <w:tcMar>
                    <w:top w:w="15" w:type="dxa"/>
                    <w:left w:w="15" w:type="dxa"/>
                    <w:right w:w="15" w:type="dxa"/>
                  </w:tcMar>
                  <w:vAlign w:val="center"/>
                </w:tcPr>
                <w:p>
                  <w:pPr>
                    <w:tabs>
                      <w:tab w:val="left" w:pos="417"/>
                      <w:tab w:val="left" w:pos="3615"/>
                    </w:tabs>
                    <w:jc w:val="center"/>
                    <w:rPr>
                      <w:sz w:val="20"/>
                    </w:rPr>
                  </w:pPr>
                  <w:r>
                    <w:rPr>
                      <w:sz w:val="20"/>
                    </w:rPr>
                    <w:t>204</w:t>
                  </w:r>
                </w:p>
              </w:tc>
              <w:tc>
                <w:tcPr>
                  <w:tcW w:w="387" w:type="dxa"/>
                  <w:tcMar>
                    <w:top w:w="15" w:type="dxa"/>
                    <w:left w:w="15" w:type="dxa"/>
                    <w:right w:w="15" w:type="dxa"/>
                  </w:tcMar>
                  <w:vAlign w:val="center"/>
                </w:tcPr>
                <w:p>
                  <w:pPr>
                    <w:tabs>
                      <w:tab w:val="left" w:pos="417"/>
                      <w:tab w:val="left" w:pos="3615"/>
                    </w:tabs>
                    <w:jc w:val="center"/>
                    <w:rPr>
                      <w:sz w:val="20"/>
                    </w:rPr>
                  </w:pPr>
                  <w:r>
                    <w:rPr>
                      <w:sz w:val="20"/>
                    </w:rPr>
                    <w:t>68</w:t>
                  </w:r>
                </w:p>
              </w:tc>
              <w:tc>
                <w:tcPr>
                  <w:tcW w:w="538" w:type="dxa"/>
                  <w:tcMar>
                    <w:top w:w="15" w:type="dxa"/>
                    <w:left w:w="15" w:type="dxa"/>
                    <w:right w:w="15" w:type="dxa"/>
                  </w:tcMar>
                  <w:vAlign w:val="center"/>
                </w:tcPr>
                <w:p>
                  <w:pPr>
                    <w:tabs>
                      <w:tab w:val="left" w:pos="417"/>
                      <w:tab w:val="left" w:pos="3615"/>
                    </w:tabs>
                    <w:jc w:val="center"/>
                    <w:rPr>
                      <w:sz w:val="20"/>
                    </w:rPr>
                  </w:pPr>
                  <w:r>
                    <w:rPr>
                      <w:sz w:val="20"/>
                    </w:rPr>
                    <w:t>509</w:t>
                  </w:r>
                </w:p>
              </w:tc>
              <w:tc>
                <w:tcPr>
                  <w:tcW w:w="475" w:type="dxa"/>
                  <w:tcMar>
                    <w:top w:w="15" w:type="dxa"/>
                    <w:left w:w="15" w:type="dxa"/>
                    <w:right w:w="15" w:type="dxa"/>
                  </w:tcMar>
                  <w:vAlign w:val="center"/>
                </w:tcPr>
                <w:p>
                  <w:pPr>
                    <w:tabs>
                      <w:tab w:val="left" w:pos="417"/>
                      <w:tab w:val="left" w:pos="3615"/>
                    </w:tabs>
                    <w:jc w:val="center"/>
                    <w:rPr>
                      <w:sz w:val="20"/>
                    </w:rPr>
                  </w:pPr>
                  <w:r>
                    <w:rPr>
                      <w:sz w:val="20"/>
                    </w:rPr>
                    <w:t>170</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31</w:t>
                  </w:r>
                </w:p>
              </w:tc>
              <w:tc>
                <w:tcPr>
                  <w:tcW w:w="575" w:type="dxa"/>
                  <w:tcMar>
                    <w:top w:w="15" w:type="dxa"/>
                    <w:left w:w="15" w:type="dxa"/>
                    <w:right w:w="15" w:type="dxa"/>
                  </w:tcMar>
                  <w:vAlign w:val="center"/>
                </w:tcPr>
                <w:p>
                  <w:pPr>
                    <w:tabs>
                      <w:tab w:val="left" w:pos="417"/>
                      <w:tab w:val="left" w:pos="3615"/>
                    </w:tabs>
                    <w:jc w:val="center"/>
                    <w:rPr>
                      <w:sz w:val="20"/>
                    </w:rPr>
                  </w:pPr>
                  <w:r>
                    <w:rPr>
                      <w:sz w:val="20"/>
                    </w:rPr>
                    <w:t>14</w:t>
                  </w:r>
                </w:p>
              </w:tc>
              <w:tc>
                <w:tcPr>
                  <w:tcW w:w="492" w:type="dxa"/>
                  <w:tcMar>
                    <w:top w:w="15" w:type="dxa"/>
                    <w:left w:w="15" w:type="dxa"/>
                    <w:right w:w="15" w:type="dxa"/>
                  </w:tcMar>
                  <w:vAlign w:val="center"/>
                </w:tcPr>
                <w:p>
                  <w:pPr>
                    <w:tabs>
                      <w:tab w:val="left" w:pos="417"/>
                      <w:tab w:val="left" w:pos="3615"/>
                    </w:tabs>
                    <w:jc w:val="center"/>
                    <w:rPr>
                      <w:sz w:val="20"/>
                    </w:rPr>
                  </w:pPr>
                  <w:r>
                    <w:rPr>
                      <w:sz w:val="20"/>
                    </w:rPr>
                    <w:t>1571</w:t>
                  </w:r>
                </w:p>
              </w:tc>
              <w:tc>
                <w:tcPr>
                  <w:tcW w:w="474" w:type="dxa"/>
                  <w:tcMar>
                    <w:top w:w="15" w:type="dxa"/>
                    <w:left w:w="15" w:type="dxa"/>
                    <w:right w:w="15" w:type="dxa"/>
                  </w:tcMar>
                  <w:vAlign w:val="center"/>
                </w:tcPr>
                <w:p>
                  <w:pPr>
                    <w:tabs>
                      <w:tab w:val="left" w:pos="417"/>
                      <w:tab w:val="left" w:pos="3615"/>
                    </w:tabs>
                    <w:jc w:val="center"/>
                    <w:rPr>
                      <w:sz w:val="20"/>
                    </w:rPr>
                  </w:pPr>
                  <w:r>
                    <w:rPr>
                      <w:sz w:val="20"/>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大涧村</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86</w:t>
                  </w:r>
                </w:p>
              </w:tc>
              <w:tc>
                <w:tcPr>
                  <w:tcW w:w="413" w:type="dxa"/>
                  <w:tcMar>
                    <w:top w:w="15" w:type="dxa"/>
                    <w:left w:w="15" w:type="dxa"/>
                    <w:right w:w="15" w:type="dxa"/>
                  </w:tcMar>
                  <w:vAlign w:val="center"/>
                </w:tcPr>
                <w:p>
                  <w:pPr>
                    <w:tabs>
                      <w:tab w:val="left" w:pos="417"/>
                      <w:tab w:val="left" w:pos="3615"/>
                    </w:tabs>
                    <w:jc w:val="center"/>
                    <w:rPr>
                      <w:sz w:val="20"/>
                    </w:rPr>
                  </w:pPr>
                  <w:r>
                    <w:rPr>
                      <w:sz w:val="20"/>
                    </w:rPr>
                    <w:t>86</w:t>
                  </w:r>
                </w:p>
              </w:tc>
              <w:tc>
                <w:tcPr>
                  <w:tcW w:w="450" w:type="dxa"/>
                  <w:tcMar>
                    <w:top w:w="15" w:type="dxa"/>
                    <w:left w:w="15" w:type="dxa"/>
                    <w:right w:w="15" w:type="dxa"/>
                  </w:tcMar>
                  <w:vAlign w:val="center"/>
                </w:tcPr>
                <w:p>
                  <w:pPr>
                    <w:tabs>
                      <w:tab w:val="left" w:pos="417"/>
                      <w:tab w:val="left" w:pos="3615"/>
                    </w:tabs>
                    <w:jc w:val="center"/>
                    <w:rPr>
                      <w:sz w:val="20"/>
                    </w:rPr>
                  </w:pPr>
                  <w:r>
                    <w:rPr>
                      <w:sz w:val="20"/>
                    </w:rPr>
                    <w:t>206</w:t>
                  </w:r>
                </w:p>
              </w:tc>
              <w:tc>
                <w:tcPr>
                  <w:tcW w:w="387" w:type="dxa"/>
                  <w:tcMar>
                    <w:top w:w="15" w:type="dxa"/>
                    <w:left w:w="15" w:type="dxa"/>
                    <w:right w:w="15" w:type="dxa"/>
                  </w:tcMar>
                  <w:vAlign w:val="center"/>
                </w:tcPr>
                <w:p>
                  <w:pPr>
                    <w:tabs>
                      <w:tab w:val="left" w:pos="417"/>
                      <w:tab w:val="left" w:pos="3615"/>
                    </w:tabs>
                    <w:jc w:val="center"/>
                    <w:rPr>
                      <w:sz w:val="20"/>
                    </w:rPr>
                  </w:pPr>
                  <w:r>
                    <w:rPr>
                      <w:sz w:val="20"/>
                    </w:rPr>
                    <w:t>69</w:t>
                  </w:r>
                </w:p>
              </w:tc>
              <w:tc>
                <w:tcPr>
                  <w:tcW w:w="538" w:type="dxa"/>
                  <w:tcMar>
                    <w:top w:w="15" w:type="dxa"/>
                    <w:left w:w="15" w:type="dxa"/>
                    <w:right w:w="15" w:type="dxa"/>
                  </w:tcMar>
                  <w:vAlign w:val="center"/>
                </w:tcPr>
                <w:p>
                  <w:pPr>
                    <w:tabs>
                      <w:tab w:val="left" w:pos="417"/>
                      <w:tab w:val="left" w:pos="3615"/>
                    </w:tabs>
                    <w:jc w:val="center"/>
                    <w:rPr>
                      <w:sz w:val="20"/>
                    </w:rPr>
                  </w:pPr>
                  <w:r>
                    <w:rPr>
                      <w:sz w:val="20"/>
                    </w:rPr>
                    <w:t>516</w:t>
                  </w:r>
                </w:p>
              </w:tc>
              <w:tc>
                <w:tcPr>
                  <w:tcW w:w="475" w:type="dxa"/>
                  <w:tcMar>
                    <w:top w:w="15" w:type="dxa"/>
                    <w:left w:w="15" w:type="dxa"/>
                    <w:right w:w="15" w:type="dxa"/>
                  </w:tcMar>
                  <w:vAlign w:val="center"/>
                </w:tcPr>
                <w:p>
                  <w:pPr>
                    <w:tabs>
                      <w:tab w:val="left" w:pos="417"/>
                      <w:tab w:val="left" w:pos="3615"/>
                    </w:tabs>
                    <w:jc w:val="center"/>
                    <w:rPr>
                      <w:sz w:val="20"/>
                    </w:rPr>
                  </w:pPr>
                  <w:r>
                    <w:rPr>
                      <w:sz w:val="20"/>
                    </w:rPr>
                    <w:t>172</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32</w:t>
                  </w:r>
                </w:p>
              </w:tc>
              <w:tc>
                <w:tcPr>
                  <w:tcW w:w="575" w:type="dxa"/>
                  <w:tcMar>
                    <w:top w:w="15" w:type="dxa"/>
                    <w:left w:w="15" w:type="dxa"/>
                    <w:right w:w="15" w:type="dxa"/>
                  </w:tcMar>
                  <w:vAlign w:val="center"/>
                </w:tcPr>
                <w:p>
                  <w:pPr>
                    <w:tabs>
                      <w:tab w:val="left" w:pos="417"/>
                      <w:tab w:val="left" w:pos="3615"/>
                    </w:tabs>
                    <w:jc w:val="center"/>
                    <w:rPr>
                      <w:sz w:val="20"/>
                    </w:rPr>
                  </w:pPr>
                  <w:r>
                    <w:rPr>
                      <w:sz w:val="20"/>
                    </w:rPr>
                    <w:t>14</w:t>
                  </w:r>
                </w:p>
              </w:tc>
              <w:tc>
                <w:tcPr>
                  <w:tcW w:w="492" w:type="dxa"/>
                  <w:tcMar>
                    <w:top w:w="15" w:type="dxa"/>
                    <w:left w:w="15" w:type="dxa"/>
                    <w:right w:w="15" w:type="dxa"/>
                  </w:tcMar>
                  <w:vAlign w:val="center"/>
                </w:tcPr>
                <w:p>
                  <w:pPr>
                    <w:tabs>
                      <w:tab w:val="left" w:pos="417"/>
                      <w:tab w:val="left" w:pos="3615"/>
                    </w:tabs>
                    <w:jc w:val="center"/>
                    <w:rPr>
                      <w:sz w:val="20"/>
                    </w:rPr>
                  </w:pPr>
                  <w:r>
                    <w:rPr>
                      <w:sz w:val="20"/>
                    </w:rPr>
                    <w:t>1591</w:t>
                  </w:r>
                </w:p>
              </w:tc>
              <w:tc>
                <w:tcPr>
                  <w:tcW w:w="474" w:type="dxa"/>
                  <w:tcMar>
                    <w:top w:w="15" w:type="dxa"/>
                    <w:left w:w="15" w:type="dxa"/>
                    <w:right w:w="15" w:type="dxa"/>
                  </w:tcMar>
                  <w:vAlign w:val="center"/>
                </w:tcPr>
                <w:p>
                  <w:pPr>
                    <w:tabs>
                      <w:tab w:val="left" w:pos="417"/>
                      <w:tab w:val="left" w:pos="3615"/>
                    </w:tabs>
                    <w:jc w:val="center"/>
                    <w:rPr>
                      <w:sz w:val="20"/>
                    </w:rPr>
                  </w:pPr>
                  <w:r>
                    <w:rPr>
                      <w:sz w:val="20"/>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南充</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80</w:t>
                  </w:r>
                </w:p>
              </w:tc>
              <w:tc>
                <w:tcPr>
                  <w:tcW w:w="413" w:type="dxa"/>
                  <w:tcMar>
                    <w:top w:w="15" w:type="dxa"/>
                    <w:left w:w="15" w:type="dxa"/>
                    <w:right w:w="15" w:type="dxa"/>
                  </w:tcMar>
                  <w:vAlign w:val="center"/>
                </w:tcPr>
                <w:p>
                  <w:pPr>
                    <w:tabs>
                      <w:tab w:val="left" w:pos="417"/>
                      <w:tab w:val="left" w:pos="3615"/>
                    </w:tabs>
                    <w:jc w:val="center"/>
                    <w:rPr>
                      <w:sz w:val="20"/>
                    </w:rPr>
                  </w:pPr>
                  <w:r>
                    <w:rPr>
                      <w:sz w:val="20"/>
                    </w:rPr>
                    <w:t>80</w:t>
                  </w:r>
                </w:p>
              </w:tc>
              <w:tc>
                <w:tcPr>
                  <w:tcW w:w="450" w:type="dxa"/>
                  <w:tcMar>
                    <w:top w:w="15" w:type="dxa"/>
                    <w:left w:w="15" w:type="dxa"/>
                    <w:right w:w="15" w:type="dxa"/>
                  </w:tcMar>
                  <w:vAlign w:val="center"/>
                </w:tcPr>
                <w:p>
                  <w:pPr>
                    <w:tabs>
                      <w:tab w:val="left" w:pos="417"/>
                      <w:tab w:val="left" w:pos="3615"/>
                    </w:tabs>
                    <w:jc w:val="center"/>
                    <w:rPr>
                      <w:sz w:val="20"/>
                    </w:rPr>
                  </w:pPr>
                  <w:r>
                    <w:rPr>
                      <w:sz w:val="20"/>
                    </w:rPr>
                    <w:t>192</w:t>
                  </w:r>
                </w:p>
              </w:tc>
              <w:tc>
                <w:tcPr>
                  <w:tcW w:w="387" w:type="dxa"/>
                  <w:tcMar>
                    <w:top w:w="15" w:type="dxa"/>
                    <w:left w:w="15" w:type="dxa"/>
                    <w:right w:w="15" w:type="dxa"/>
                  </w:tcMar>
                  <w:vAlign w:val="center"/>
                </w:tcPr>
                <w:p>
                  <w:pPr>
                    <w:tabs>
                      <w:tab w:val="left" w:pos="417"/>
                      <w:tab w:val="left" w:pos="3615"/>
                    </w:tabs>
                    <w:jc w:val="center"/>
                    <w:rPr>
                      <w:sz w:val="20"/>
                    </w:rPr>
                  </w:pPr>
                  <w:r>
                    <w:rPr>
                      <w:sz w:val="20"/>
                    </w:rPr>
                    <w:t>64</w:t>
                  </w:r>
                </w:p>
              </w:tc>
              <w:tc>
                <w:tcPr>
                  <w:tcW w:w="538" w:type="dxa"/>
                  <w:tcMar>
                    <w:top w:w="15" w:type="dxa"/>
                    <w:left w:w="15" w:type="dxa"/>
                    <w:right w:w="15" w:type="dxa"/>
                  </w:tcMar>
                  <w:vAlign w:val="center"/>
                </w:tcPr>
                <w:p>
                  <w:pPr>
                    <w:tabs>
                      <w:tab w:val="left" w:pos="417"/>
                      <w:tab w:val="left" w:pos="3615"/>
                    </w:tabs>
                    <w:jc w:val="center"/>
                    <w:rPr>
                      <w:sz w:val="20"/>
                    </w:rPr>
                  </w:pPr>
                  <w:r>
                    <w:rPr>
                      <w:sz w:val="20"/>
                    </w:rPr>
                    <w:t>480</w:t>
                  </w:r>
                </w:p>
              </w:tc>
              <w:tc>
                <w:tcPr>
                  <w:tcW w:w="475" w:type="dxa"/>
                  <w:tcMar>
                    <w:top w:w="15" w:type="dxa"/>
                    <w:left w:w="15" w:type="dxa"/>
                    <w:right w:w="15" w:type="dxa"/>
                  </w:tcMar>
                  <w:vAlign w:val="center"/>
                </w:tcPr>
                <w:p>
                  <w:pPr>
                    <w:tabs>
                      <w:tab w:val="left" w:pos="417"/>
                      <w:tab w:val="left" w:pos="3615"/>
                    </w:tabs>
                    <w:jc w:val="center"/>
                    <w:rPr>
                      <w:sz w:val="20"/>
                    </w:rPr>
                  </w:pPr>
                  <w:r>
                    <w:rPr>
                      <w:sz w:val="20"/>
                    </w:rPr>
                    <w:t>160</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6</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7</w:t>
                  </w:r>
                </w:p>
              </w:tc>
              <w:tc>
                <w:tcPr>
                  <w:tcW w:w="475" w:type="dxa"/>
                  <w:tcMar>
                    <w:top w:w="15" w:type="dxa"/>
                    <w:left w:w="15" w:type="dxa"/>
                    <w:right w:w="15" w:type="dxa"/>
                  </w:tcMar>
                  <w:vAlign w:val="center"/>
                </w:tcPr>
                <w:p>
                  <w:pPr>
                    <w:tabs>
                      <w:tab w:val="left" w:pos="417"/>
                      <w:tab w:val="left" w:pos="3615"/>
                    </w:tabs>
                    <w:jc w:val="center"/>
                    <w:rPr>
                      <w:sz w:val="20"/>
                    </w:rPr>
                  </w:pPr>
                  <w:r>
                    <w:rPr>
                      <w:sz w:val="20"/>
                    </w:rPr>
                    <w:t>30</w:t>
                  </w:r>
                </w:p>
              </w:tc>
              <w:tc>
                <w:tcPr>
                  <w:tcW w:w="575" w:type="dxa"/>
                  <w:tcMar>
                    <w:top w:w="15" w:type="dxa"/>
                    <w:left w:w="15" w:type="dxa"/>
                    <w:right w:w="15" w:type="dxa"/>
                  </w:tcMar>
                  <w:vAlign w:val="center"/>
                </w:tcPr>
                <w:p>
                  <w:pPr>
                    <w:tabs>
                      <w:tab w:val="left" w:pos="417"/>
                      <w:tab w:val="left" w:pos="3615"/>
                    </w:tabs>
                    <w:jc w:val="center"/>
                    <w:rPr>
                      <w:sz w:val="20"/>
                    </w:rPr>
                  </w:pPr>
                  <w:r>
                    <w:rPr>
                      <w:sz w:val="20"/>
                    </w:rPr>
                    <w:t>13</w:t>
                  </w:r>
                </w:p>
              </w:tc>
              <w:tc>
                <w:tcPr>
                  <w:tcW w:w="492" w:type="dxa"/>
                  <w:tcMar>
                    <w:top w:w="15" w:type="dxa"/>
                    <w:left w:w="15" w:type="dxa"/>
                    <w:right w:w="15" w:type="dxa"/>
                  </w:tcMar>
                  <w:vAlign w:val="center"/>
                </w:tcPr>
                <w:p>
                  <w:pPr>
                    <w:tabs>
                      <w:tab w:val="left" w:pos="417"/>
                      <w:tab w:val="left" w:pos="3615"/>
                    </w:tabs>
                    <w:jc w:val="center"/>
                    <w:rPr>
                      <w:sz w:val="20"/>
                    </w:rPr>
                  </w:pPr>
                  <w:r>
                    <w:rPr>
                      <w:sz w:val="20"/>
                    </w:rPr>
                    <w:t>1481</w:t>
                  </w:r>
                </w:p>
              </w:tc>
              <w:tc>
                <w:tcPr>
                  <w:tcW w:w="474" w:type="dxa"/>
                  <w:tcMar>
                    <w:top w:w="15" w:type="dxa"/>
                    <w:left w:w="15" w:type="dxa"/>
                    <w:right w:w="15" w:type="dxa"/>
                  </w:tcMar>
                  <w:vAlign w:val="center"/>
                </w:tcPr>
                <w:p>
                  <w:pPr>
                    <w:tabs>
                      <w:tab w:val="left" w:pos="417"/>
                      <w:tab w:val="left" w:pos="3615"/>
                    </w:tabs>
                    <w:jc w:val="center"/>
                    <w:rPr>
                      <w:sz w:val="20"/>
                    </w:rPr>
                  </w:pPr>
                  <w:r>
                    <w:rPr>
                      <w:sz w:val="20"/>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义和</w:t>
                  </w:r>
                </w:p>
              </w:tc>
              <w:tc>
                <w:tcPr>
                  <w:tcW w:w="425" w:type="dxa"/>
                  <w:tcMar>
                    <w:top w:w="15" w:type="dxa"/>
                    <w:left w:w="15" w:type="dxa"/>
                    <w:right w:w="15" w:type="dxa"/>
                  </w:tcMar>
                  <w:vAlign w:val="center"/>
                </w:tcPr>
                <w:p>
                  <w:pPr>
                    <w:tabs>
                      <w:tab w:val="left" w:pos="417"/>
                      <w:tab w:val="left" w:pos="3615"/>
                    </w:tabs>
                    <w:jc w:val="center"/>
                    <w:rPr>
                      <w:sz w:val="20"/>
                    </w:rPr>
                  </w:pPr>
                  <w:r>
                    <w:rPr>
                      <w:sz w:val="20"/>
                    </w:rPr>
                    <w:t>82</w:t>
                  </w:r>
                </w:p>
              </w:tc>
              <w:tc>
                <w:tcPr>
                  <w:tcW w:w="425" w:type="dxa"/>
                  <w:tcMar>
                    <w:top w:w="15" w:type="dxa"/>
                    <w:left w:w="15" w:type="dxa"/>
                    <w:right w:w="15" w:type="dxa"/>
                  </w:tcMar>
                  <w:vAlign w:val="center"/>
                </w:tcPr>
                <w:p>
                  <w:pPr>
                    <w:tabs>
                      <w:tab w:val="left" w:pos="417"/>
                      <w:tab w:val="left" w:pos="3615"/>
                    </w:tabs>
                    <w:jc w:val="center"/>
                    <w:rPr>
                      <w:sz w:val="20"/>
                    </w:rPr>
                  </w:pPr>
                  <w:r>
                    <w:rPr>
                      <w:sz w:val="20"/>
                    </w:rPr>
                    <w:t>82</w:t>
                  </w:r>
                </w:p>
              </w:tc>
              <w:tc>
                <w:tcPr>
                  <w:tcW w:w="425" w:type="dxa"/>
                  <w:tcMar>
                    <w:top w:w="15" w:type="dxa"/>
                    <w:left w:w="15" w:type="dxa"/>
                    <w:right w:w="15" w:type="dxa"/>
                  </w:tcMar>
                  <w:vAlign w:val="center"/>
                </w:tcPr>
                <w:p>
                  <w:pPr>
                    <w:tabs>
                      <w:tab w:val="left" w:pos="417"/>
                      <w:tab w:val="left" w:pos="3615"/>
                    </w:tabs>
                    <w:jc w:val="center"/>
                    <w:rPr>
                      <w:sz w:val="20"/>
                    </w:rPr>
                  </w:pPr>
                  <w:r>
                    <w:rPr>
                      <w:sz w:val="20"/>
                    </w:rPr>
                    <w:t>206</w:t>
                  </w:r>
                </w:p>
              </w:tc>
              <w:tc>
                <w:tcPr>
                  <w:tcW w:w="413" w:type="dxa"/>
                  <w:tcMar>
                    <w:top w:w="15" w:type="dxa"/>
                    <w:left w:w="15" w:type="dxa"/>
                    <w:right w:w="15" w:type="dxa"/>
                  </w:tcMar>
                  <w:vAlign w:val="center"/>
                </w:tcPr>
                <w:p>
                  <w:pPr>
                    <w:tabs>
                      <w:tab w:val="left" w:pos="417"/>
                      <w:tab w:val="left" w:pos="3615"/>
                    </w:tabs>
                    <w:jc w:val="center"/>
                    <w:rPr>
                      <w:sz w:val="20"/>
                    </w:rPr>
                  </w:pPr>
                  <w:r>
                    <w:rPr>
                      <w:sz w:val="20"/>
                    </w:rPr>
                    <w:t>206</w:t>
                  </w:r>
                </w:p>
              </w:tc>
              <w:tc>
                <w:tcPr>
                  <w:tcW w:w="450" w:type="dxa"/>
                  <w:tcMar>
                    <w:top w:w="15" w:type="dxa"/>
                    <w:left w:w="15" w:type="dxa"/>
                    <w:right w:w="15" w:type="dxa"/>
                  </w:tcMar>
                  <w:vAlign w:val="center"/>
                </w:tcPr>
                <w:p>
                  <w:pPr>
                    <w:tabs>
                      <w:tab w:val="left" w:pos="417"/>
                      <w:tab w:val="left" w:pos="3615"/>
                    </w:tabs>
                    <w:jc w:val="center"/>
                    <w:rPr>
                      <w:sz w:val="20"/>
                    </w:rPr>
                  </w:pPr>
                  <w:r>
                    <w:rPr>
                      <w:sz w:val="20"/>
                    </w:rPr>
                    <w:t>494</w:t>
                  </w:r>
                </w:p>
              </w:tc>
              <w:tc>
                <w:tcPr>
                  <w:tcW w:w="387" w:type="dxa"/>
                  <w:tcMar>
                    <w:top w:w="15" w:type="dxa"/>
                    <w:left w:w="15" w:type="dxa"/>
                    <w:right w:w="15" w:type="dxa"/>
                  </w:tcMar>
                  <w:vAlign w:val="center"/>
                </w:tcPr>
                <w:p>
                  <w:pPr>
                    <w:tabs>
                      <w:tab w:val="left" w:pos="417"/>
                      <w:tab w:val="left" w:pos="3615"/>
                    </w:tabs>
                    <w:jc w:val="center"/>
                    <w:rPr>
                      <w:sz w:val="20"/>
                    </w:rPr>
                  </w:pPr>
                  <w:r>
                    <w:rPr>
                      <w:sz w:val="20"/>
                    </w:rPr>
                    <w:t>165</w:t>
                  </w:r>
                </w:p>
              </w:tc>
              <w:tc>
                <w:tcPr>
                  <w:tcW w:w="538" w:type="dxa"/>
                  <w:tcMar>
                    <w:top w:w="15" w:type="dxa"/>
                    <w:left w:w="15" w:type="dxa"/>
                    <w:right w:w="15" w:type="dxa"/>
                  </w:tcMar>
                  <w:vAlign w:val="center"/>
                </w:tcPr>
                <w:p>
                  <w:pPr>
                    <w:tabs>
                      <w:tab w:val="left" w:pos="417"/>
                      <w:tab w:val="left" w:pos="3615"/>
                    </w:tabs>
                    <w:jc w:val="center"/>
                    <w:rPr>
                      <w:sz w:val="20"/>
                    </w:rPr>
                  </w:pPr>
                  <w:r>
                    <w:rPr>
                      <w:sz w:val="20"/>
                    </w:rPr>
                    <w:t>1236</w:t>
                  </w:r>
                </w:p>
              </w:tc>
              <w:tc>
                <w:tcPr>
                  <w:tcW w:w="475" w:type="dxa"/>
                  <w:tcMar>
                    <w:top w:w="15" w:type="dxa"/>
                    <w:left w:w="15" w:type="dxa"/>
                    <w:right w:w="15" w:type="dxa"/>
                  </w:tcMar>
                  <w:vAlign w:val="center"/>
                </w:tcPr>
                <w:p>
                  <w:pPr>
                    <w:tabs>
                      <w:tab w:val="left" w:pos="417"/>
                      <w:tab w:val="left" w:pos="3615"/>
                    </w:tabs>
                    <w:jc w:val="center"/>
                    <w:rPr>
                      <w:sz w:val="20"/>
                    </w:rPr>
                  </w:pPr>
                  <w:r>
                    <w:rPr>
                      <w:sz w:val="20"/>
                    </w:rPr>
                    <w:t>412</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16</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19</w:t>
                  </w:r>
                </w:p>
              </w:tc>
              <w:tc>
                <w:tcPr>
                  <w:tcW w:w="475" w:type="dxa"/>
                  <w:tcMar>
                    <w:top w:w="15" w:type="dxa"/>
                    <w:left w:w="15" w:type="dxa"/>
                    <w:right w:w="15" w:type="dxa"/>
                  </w:tcMar>
                  <w:vAlign w:val="center"/>
                </w:tcPr>
                <w:p>
                  <w:pPr>
                    <w:tabs>
                      <w:tab w:val="left" w:pos="417"/>
                      <w:tab w:val="left" w:pos="3615"/>
                    </w:tabs>
                    <w:jc w:val="center"/>
                    <w:rPr>
                      <w:sz w:val="20"/>
                    </w:rPr>
                  </w:pPr>
                  <w:r>
                    <w:rPr>
                      <w:sz w:val="20"/>
                    </w:rPr>
                    <w:t>76</w:t>
                  </w:r>
                </w:p>
              </w:tc>
              <w:tc>
                <w:tcPr>
                  <w:tcW w:w="575" w:type="dxa"/>
                  <w:tcMar>
                    <w:top w:w="15" w:type="dxa"/>
                    <w:left w:w="15" w:type="dxa"/>
                    <w:right w:w="15" w:type="dxa"/>
                  </w:tcMar>
                  <w:vAlign w:val="center"/>
                </w:tcPr>
                <w:p>
                  <w:pPr>
                    <w:tabs>
                      <w:tab w:val="left" w:pos="417"/>
                      <w:tab w:val="left" w:pos="3615"/>
                    </w:tabs>
                    <w:jc w:val="center"/>
                    <w:rPr>
                      <w:sz w:val="20"/>
                    </w:rPr>
                  </w:pPr>
                  <w:r>
                    <w:rPr>
                      <w:sz w:val="20"/>
                    </w:rPr>
                    <w:t>33</w:t>
                  </w:r>
                </w:p>
              </w:tc>
              <w:tc>
                <w:tcPr>
                  <w:tcW w:w="492" w:type="dxa"/>
                  <w:tcMar>
                    <w:top w:w="15" w:type="dxa"/>
                    <w:left w:w="15" w:type="dxa"/>
                    <w:right w:w="15" w:type="dxa"/>
                  </w:tcMar>
                  <w:vAlign w:val="center"/>
                </w:tcPr>
                <w:p>
                  <w:pPr>
                    <w:tabs>
                      <w:tab w:val="left" w:pos="417"/>
                      <w:tab w:val="left" w:pos="3615"/>
                    </w:tabs>
                    <w:jc w:val="center"/>
                    <w:rPr>
                      <w:sz w:val="20"/>
                    </w:rPr>
                  </w:pPr>
                  <w:r>
                    <w:rPr>
                      <w:sz w:val="20"/>
                    </w:rPr>
                    <w:t>3810</w:t>
                  </w:r>
                </w:p>
              </w:tc>
              <w:tc>
                <w:tcPr>
                  <w:tcW w:w="474" w:type="dxa"/>
                  <w:tcMar>
                    <w:top w:w="15" w:type="dxa"/>
                    <w:left w:w="15" w:type="dxa"/>
                    <w:right w:w="15" w:type="dxa"/>
                  </w:tcMar>
                  <w:vAlign w:val="center"/>
                </w:tcPr>
                <w:p>
                  <w:pPr>
                    <w:tabs>
                      <w:tab w:val="left" w:pos="417"/>
                      <w:tab w:val="left" w:pos="3615"/>
                    </w:tabs>
                    <w:jc w:val="center"/>
                    <w:rPr>
                      <w:sz w:val="20"/>
                    </w:rPr>
                  </w:pPr>
                  <w:r>
                    <w:rPr>
                      <w:sz w:val="20"/>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上寺</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150</w:t>
                  </w:r>
                </w:p>
              </w:tc>
              <w:tc>
                <w:tcPr>
                  <w:tcW w:w="413" w:type="dxa"/>
                  <w:tcMar>
                    <w:top w:w="15" w:type="dxa"/>
                    <w:left w:w="15" w:type="dxa"/>
                    <w:right w:w="15" w:type="dxa"/>
                  </w:tcMar>
                  <w:vAlign w:val="center"/>
                </w:tcPr>
                <w:p>
                  <w:pPr>
                    <w:tabs>
                      <w:tab w:val="left" w:pos="417"/>
                      <w:tab w:val="left" w:pos="3615"/>
                    </w:tabs>
                    <w:jc w:val="center"/>
                    <w:rPr>
                      <w:sz w:val="20"/>
                    </w:rPr>
                  </w:pPr>
                  <w:r>
                    <w:rPr>
                      <w:sz w:val="20"/>
                    </w:rPr>
                    <w:t>150</w:t>
                  </w:r>
                </w:p>
              </w:tc>
              <w:tc>
                <w:tcPr>
                  <w:tcW w:w="450" w:type="dxa"/>
                  <w:tcMar>
                    <w:top w:w="15" w:type="dxa"/>
                    <w:left w:w="15" w:type="dxa"/>
                    <w:right w:w="15" w:type="dxa"/>
                  </w:tcMar>
                  <w:vAlign w:val="center"/>
                </w:tcPr>
                <w:p>
                  <w:pPr>
                    <w:tabs>
                      <w:tab w:val="left" w:pos="417"/>
                      <w:tab w:val="left" w:pos="3615"/>
                    </w:tabs>
                    <w:jc w:val="center"/>
                    <w:rPr>
                      <w:sz w:val="20"/>
                    </w:rPr>
                  </w:pPr>
                  <w:r>
                    <w:rPr>
                      <w:sz w:val="20"/>
                    </w:rPr>
                    <w:t>359</w:t>
                  </w:r>
                </w:p>
              </w:tc>
              <w:tc>
                <w:tcPr>
                  <w:tcW w:w="387" w:type="dxa"/>
                  <w:tcMar>
                    <w:top w:w="15" w:type="dxa"/>
                    <w:left w:w="15" w:type="dxa"/>
                    <w:right w:w="15" w:type="dxa"/>
                  </w:tcMar>
                  <w:vAlign w:val="center"/>
                </w:tcPr>
                <w:p>
                  <w:pPr>
                    <w:tabs>
                      <w:tab w:val="left" w:pos="417"/>
                      <w:tab w:val="left" w:pos="3615"/>
                    </w:tabs>
                    <w:jc w:val="center"/>
                    <w:rPr>
                      <w:sz w:val="20"/>
                    </w:rPr>
                  </w:pPr>
                  <w:r>
                    <w:rPr>
                      <w:sz w:val="20"/>
                    </w:rPr>
                    <w:t>120</w:t>
                  </w:r>
                </w:p>
              </w:tc>
              <w:tc>
                <w:tcPr>
                  <w:tcW w:w="538" w:type="dxa"/>
                  <w:tcMar>
                    <w:top w:w="15" w:type="dxa"/>
                    <w:left w:w="15" w:type="dxa"/>
                    <w:right w:w="15" w:type="dxa"/>
                  </w:tcMar>
                  <w:vAlign w:val="center"/>
                </w:tcPr>
                <w:p>
                  <w:pPr>
                    <w:tabs>
                      <w:tab w:val="left" w:pos="417"/>
                      <w:tab w:val="left" w:pos="3615"/>
                    </w:tabs>
                    <w:jc w:val="center"/>
                    <w:rPr>
                      <w:sz w:val="20"/>
                    </w:rPr>
                  </w:pPr>
                  <w:r>
                    <w:rPr>
                      <w:sz w:val="20"/>
                    </w:rPr>
                    <w:t>898</w:t>
                  </w:r>
                </w:p>
              </w:tc>
              <w:tc>
                <w:tcPr>
                  <w:tcW w:w="475" w:type="dxa"/>
                  <w:tcMar>
                    <w:top w:w="15" w:type="dxa"/>
                    <w:left w:w="15" w:type="dxa"/>
                    <w:right w:w="15" w:type="dxa"/>
                  </w:tcMar>
                  <w:vAlign w:val="center"/>
                </w:tcPr>
                <w:p>
                  <w:pPr>
                    <w:tabs>
                      <w:tab w:val="left" w:pos="417"/>
                      <w:tab w:val="left" w:pos="3615"/>
                    </w:tabs>
                    <w:jc w:val="center"/>
                    <w:rPr>
                      <w:sz w:val="20"/>
                    </w:rPr>
                  </w:pPr>
                  <w:r>
                    <w:rPr>
                      <w:sz w:val="20"/>
                    </w:rPr>
                    <w:t>299</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12</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55</w:t>
                  </w:r>
                </w:p>
              </w:tc>
              <w:tc>
                <w:tcPr>
                  <w:tcW w:w="575" w:type="dxa"/>
                  <w:tcMar>
                    <w:top w:w="15" w:type="dxa"/>
                    <w:left w:w="15" w:type="dxa"/>
                    <w:right w:w="15" w:type="dxa"/>
                  </w:tcMar>
                  <w:vAlign w:val="center"/>
                </w:tcPr>
                <w:p>
                  <w:pPr>
                    <w:tabs>
                      <w:tab w:val="left" w:pos="417"/>
                      <w:tab w:val="left" w:pos="3615"/>
                    </w:tabs>
                    <w:jc w:val="center"/>
                    <w:rPr>
                      <w:sz w:val="20"/>
                    </w:rPr>
                  </w:pPr>
                  <w:r>
                    <w:rPr>
                      <w:sz w:val="20"/>
                    </w:rPr>
                    <w:t>24</w:t>
                  </w:r>
                </w:p>
              </w:tc>
              <w:tc>
                <w:tcPr>
                  <w:tcW w:w="492" w:type="dxa"/>
                  <w:tcMar>
                    <w:top w:w="15" w:type="dxa"/>
                    <w:left w:w="15" w:type="dxa"/>
                    <w:right w:w="15" w:type="dxa"/>
                  </w:tcMar>
                  <w:vAlign w:val="center"/>
                </w:tcPr>
                <w:p>
                  <w:pPr>
                    <w:tabs>
                      <w:tab w:val="left" w:pos="417"/>
                      <w:tab w:val="left" w:pos="3615"/>
                    </w:tabs>
                    <w:jc w:val="center"/>
                    <w:rPr>
                      <w:sz w:val="20"/>
                    </w:rPr>
                  </w:pPr>
                  <w:r>
                    <w:rPr>
                      <w:sz w:val="20"/>
                    </w:rPr>
                    <w:t>2768</w:t>
                  </w:r>
                </w:p>
              </w:tc>
              <w:tc>
                <w:tcPr>
                  <w:tcW w:w="474" w:type="dxa"/>
                  <w:tcMar>
                    <w:top w:w="15" w:type="dxa"/>
                    <w:left w:w="15" w:type="dxa"/>
                    <w:right w:w="15" w:type="dxa"/>
                  </w:tcMar>
                  <w:vAlign w:val="center"/>
                </w:tcPr>
                <w:p>
                  <w:pPr>
                    <w:tabs>
                      <w:tab w:val="left" w:pos="417"/>
                      <w:tab w:val="left" w:pos="3615"/>
                    </w:tabs>
                    <w:jc w:val="center"/>
                    <w:rPr>
                      <w:sz w:val="20"/>
                    </w:rPr>
                  </w:pPr>
                  <w:r>
                    <w:rPr>
                      <w:sz w:val="20"/>
                    </w:rPr>
                    <w:t>1272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源胜</w:t>
                  </w:r>
                </w:p>
              </w:tc>
              <w:tc>
                <w:tcPr>
                  <w:tcW w:w="662" w:type="dxa"/>
                  <w:tcMar>
                    <w:top w:w="15" w:type="dxa"/>
                    <w:left w:w="15" w:type="dxa"/>
                    <w:right w:w="15" w:type="dxa"/>
                  </w:tcMar>
                  <w:vAlign w:val="center"/>
                </w:tcPr>
                <w:p>
                  <w:pPr>
                    <w:tabs>
                      <w:tab w:val="left" w:pos="417"/>
                      <w:tab w:val="left" w:pos="3615"/>
                    </w:tabs>
                    <w:jc w:val="center"/>
                    <w:rPr>
                      <w:sz w:val="20"/>
                    </w:rPr>
                  </w:pPr>
                  <w:r>
                    <w:rPr>
                      <w:sz w:val="20"/>
                    </w:rPr>
                    <w:t>杨柳</w:t>
                  </w:r>
                </w:p>
              </w:tc>
              <w:tc>
                <w:tcPr>
                  <w:tcW w:w="425" w:type="dxa"/>
                  <w:tcMar>
                    <w:top w:w="15" w:type="dxa"/>
                    <w:left w:w="15" w:type="dxa"/>
                    <w:right w:w="15" w:type="dxa"/>
                  </w:tcMar>
                  <w:vAlign w:val="center"/>
                </w:tcPr>
                <w:p>
                  <w:pPr>
                    <w:tabs>
                      <w:tab w:val="left" w:pos="417"/>
                      <w:tab w:val="left" w:pos="3615"/>
                    </w:tabs>
                    <w:jc w:val="center"/>
                    <w:rPr>
                      <w:sz w:val="20"/>
                    </w:rPr>
                  </w:pPr>
                  <w:r>
                    <w:rPr>
                      <w:sz w:val="20"/>
                    </w:rPr>
                    <w:t>75</w:t>
                  </w:r>
                </w:p>
              </w:tc>
              <w:tc>
                <w:tcPr>
                  <w:tcW w:w="425" w:type="dxa"/>
                  <w:tcMar>
                    <w:top w:w="15" w:type="dxa"/>
                    <w:left w:w="15" w:type="dxa"/>
                    <w:right w:w="15" w:type="dxa"/>
                  </w:tcMar>
                  <w:vAlign w:val="center"/>
                </w:tcPr>
                <w:p>
                  <w:pPr>
                    <w:tabs>
                      <w:tab w:val="left" w:pos="417"/>
                      <w:tab w:val="left" w:pos="3615"/>
                    </w:tabs>
                    <w:jc w:val="center"/>
                    <w:rPr>
                      <w:sz w:val="20"/>
                    </w:rPr>
                  </w:pPr>
                  <w:r>
                    <w:rPr>
                      <w:sz w:val="20"/>
                    </w:rPr>
                    <w:t>75</w:t>
                  </w:r>
                </w:p>
              </w:tc>
              <w:tc>
                <w:tcPr>
                  <w:tcW w:w="425" w:type="dxa"/>
                  <w:tcMar>
                    <w:top w:w="15" w:type="dxa"/>
                    <w:left w:w="15" w:type="dxa"/>
                    <w:right w:w="15" w:type="dxa"/>
                  </w:tcMar>
                  <w:vAlign w:val="center"/>
                </w:tcPr>
                <w:p>
                  <w:pPr>
                    <w:tabs>
                      <w:tab w:val="left" w:pos="417"/>
                      <w:tab w:val="left" w:pos="3615"/>
                    </w:tabs>
                    <w:jc w:val="center"/>
                    <w:rPr>
                      <w:sz w:val="20"/>
                    </w:rPr>
                  </w:pPr>
                  <w:r>
                    <w:rPr>
                      <w:sz w:val="20"/>
                    </w:rPr>
                    <w:t>187</w:t>
                  </w:r>
                </w:p>
              </w:tc>
              <w:tc>
                <w:tcPr>
                  <w:tcW w:w="413" w:type="dxa"/>
                  <w:tcMar>
                    <w:top w:w="15" w:type="dxa"/>
                    <w:left w:w="15" w:type="dxa"/>
                    <w:right w:w="15" w:type="dxa"/>
                  </w:tcMar>
                  <w:vAlign w:val="center"/>
                </w:tcPr>
                <w:p>
                  <w:pPr>
                    <w:tabs>
                      <w:tab w:val="left" w:pos="417"/>
                      <w:tab w:val="left" w:pos="3615"/>
                    </w:tabs>
                    <w:jc w:val="center"/>
                    <w:rPr>
                      <w:sz w:val="20"/>
                    </w:rPr>
                  </w:pPr>
                  <w:r>
                    <w:rPr>
                      <w:sz w:val="20"/>
                    </w:rPr>
                    <w:t>187</w:t>
                  </w:r>
                </w:p>
              </w:tc>
              <w:tc>
                <w:tcPr>
                  <w:tcW w:w="450" w:type="dxa"/>
                  <w:tcMar>
                    <w:top w:w="15" w:type="dxa"/>
                    <w:left w:w="15" w:type="dxa"/>
                    <w:right w:w="15" w:type="dxa"/>
                  </w:tcMar>
                  <w:vAlign w:val="center"/>
                </w:tcPr>
                <w:p>
                  <w:pPr>
                    <w:tabs>
                      <w:tab w:val="left" w:pos="417"/>
                      <w:tab w:val="left" w:pos="3615"/>
                    </w:tabs>
                    <w:jc w:val="center"/>
                    <w:rPr>
                      <w:sz w:val="20"/>
                    </w:rPr>
                  </w:pPr>
                  <w:r>
                    <w:rPr>
                      <w:sz w:val="20"/>
                    </w:rPr>
                    <w:t>448</w:t>
                  </w:r>
                </w:p>
              </w:tc>
              <w:tc>
                <w:tcPr>
                  <w:tcW w:w="387" w:type="dxa"/>
                  <w:tcMar>
                    <w:top w:w="15" w:type="dxa"/>
                    <w:left w:w="15" w:type="dxa"/>
                    <w:right w:w="15" w:type="dxa"/>
                  </w:tcMar>
                  <w:vAlign w:val="center"/>
                </w:tcPr>
                <w:p>
                  <w:pPr>
                    <w:tabs>
                      <w:tab w:val="left" w:pos="417"/>
                      <w:tab w:val="left" w:pos="3615"/>
                    </w:tabs>
                    <w:jc w:val="center"/>
                    <w:rPr>
                      <w:sz w:val="20"/>
                    </w:rPr>
                  </w:pPr>
                  <w:r>
                    <w:rPr>
                      <w:sz w:val="20"/>
                    </w:rPr>
                    <w:t>149</w:t>
                  </w:r>
                </w:p>
              </w:tc>
              <w:tc>
                <w:tcPr>
                  <w:tcW w:w="538" w:type="dxa"/>
                  <w:tcMar>
                    <w:top w:w="15" w:type="dxa"/>
                    <w:left w:w="15" w:type="dxa"/>
                    <w:right w:w="15" w:type="dxa"/>
                  </w:tcMar>
                  <w:vAlign w:val="center"/>
                </w:tcPr>
                <w:p>
                  <w:pPr>
                    <w:tabs>
                      <w:tab w:val="left" w:pos="417"/>
                      <w:tab w:val="left" w:pos="3615"/>
                    </w:tabs>
                    <w:jc w:val="center"/>
                    <w:rPr>
                      <w:sz w:val="20"/>
                    </w:rPr>
                  </w:pPr>
                  <w:r>
                    <w:rPr>
                      <w:sz w:val="20"/>
                    </w:rPr>
                    <w:t>1121</w:t>
                  </w:r>
                </w:p>
              </w:tc>
              <w:tc>
                <w:tcPr>
                  <w:tcW w:w="475" w:type="dxa"/>
                  <w:tcMar>
                    <w:top w:w="15" w:type="dxa"/>
                    <w:left w:w="15" w:type="dxa"/>
                    <w:right w:w="15" w:type="dxa"/>
                  </w:tcMar>
                  <w:vAlign w:val="center"/>
                </w:tcPr>
                <w:p>
                  <w:pPr>
                    <w:tabs>
                      <w:tab w:val="left" w:pos="417"/>
                      <w:tab w:val="left" w:pos="3615"/>
                    </w:tabs>
                    <w:jc w:val="center"/>
                    <w:rPr>
                      <w:sz w:val="20"/>
                    </w:rPr>
                  </w:pPr>
                  <w:r>
                    <w:rPr>
                      <w:sz w:val="20"/>
                    </w:rPr>
                    <w:t>374</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15</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17</w:t>
                  </w:r>
                </w:p>
              </w:tc>
              <w:tc>
                <w:tcPr>
                  <w:tcW w:w="475" w:type="dxa"/>
                  <w:tcMar>
                    <w:top w:w="15" w:type="dxa"/>
                    <w:left w:w="15" w:type="dxa"/>
                    <w:right w:w="15" w:type="dxa"/>
                  </w:tcMar>
                  <w:vAlign w:val="center"/>
                </w:tcPr>
                <w:p>
                  <w:pPr>
                    <w:tabs>
                      <w:tab w:val="left" w:pos="417"/>
                      <w:tab w:val="left" w:pos="3615"/>
                    </w:tabs>
                    <w:jc w:val="center"/>
                    <w:rPr>
                      <w:sz w:val="20"/>
                    </w:rPr>
                  </w:pPr>
                  <w:r>
                    <w:rPr>
                      <w:sz w:val="20"/>
                    </w:rPr>
                    <w:t>69</w:t>
                  </w:r>
                </w:p>
              </w:tc>
              <w:tc>
                <w:tcPr>
                  <w:tcW w:w="575" w:type="dxa"/>
                  <w:tcMar>
                    <w:top w:w="15" w:type="dxa"/>
                    <w:left w:w="15" w:type="dxa"/>
                    <w:right w:w="15" w:type="dxa"/>
                  </w:tcMar>
                  <w:vAlign w:val="center"/>
                </w:tcPr>
                <w:p>
                  <w:pPr>
                    <w:tabs>
                      <w:tab w:val="left" w:pos="417"/>
                      <w:tab w:val="left" w:pos="3615"/>
                    </w:tabs>
                    <w:jc w:val="center"/>
                    <w:rPr>
                      <w:sz w:val="20"/>
                    </w:rPr>
                  </w:pPr>
                  <w:r>
                    <w:rPr>
                      <w:sz w:val="20"/>
                    </w:rPr>
                    <w:t>30</w:t>
                  </w:r>
                </w:p>
              </w:tc>
              <w:tc>
                <w:tcPr>
                  <w:tcW w:w="492" w:type="dxa"/>
                  <w:tcMar>
                    <w:top w:w="15" w:type="dxa"/>
                    <w:left w:w="15" w:type="dxa"/>
                    <w:right w:w="15" w:type="dxa"/>
                  </w:tcMar>
                  <w:vAlign w:val="center"/>
                </w:tcPr>
                <w:p>
                  <w:pPr>
                    <w:tabs>
                      <w:tab w:val="left" w:pos="417"/>
                      <w:tab w:val="left" w:pos="3615"/>
                    </w:tabs>
                    <w:jc w:val="center"/>
                    <w:rPr>
                      <w:sz w:val="20"/>
                    </w:rPr>
                  </w:pPr>
                  <w:r>
                    <w:rPr>
                      <w:sz w:val="20"/>
                    </w:rPr>
                    <w:t>3455</w:t>
                  </w:r>
                </w:p>
              </w:tc>
              <w:tc>
                <w:tcPr>
                  <w:tcW w:w="474" w:type="dxa"/>
                  <w:tcMar>
                    <w:top w:w="15" w:type="dxa"/>
                    <w:left w:w="15" w:type="dxa"/>
                    <w:right w:w="15" w:type="dxa"/>
                  </w:tcMar>
                  <w:vAlign w:val="center"/>
                </w:tcPr>
                <w:p>
                  <w:pPr>
                    <w:tabs>
                      <w:tab w:val="left" w:pos="417"/>
                      <w:tab w:val="left" w:pos="3615"/>
                    </w:tabs>
                    <w:jc w:val="center"/>
                    <w:rPr>
                      <w:sz w:val="20"/>
                    </w:rPr>
                  </w:pPr>
                  <w:r>
                    <w:rPr>
                      <w:sz w:val="20"/>
                    </w:rPr>
                    <w:t>1587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大充</w:t>
                  </w:r>
                </w:p>
              </w:tc>
              <w:tc>
                <w:tcPr>
                  <w:tcW w:w="425" w:type="dxa"/>
                  <w:tcMar>
                    <w:top w:w="15" w:type="dxa"/>
                    <w:left w:w="15" w:type="dxa"/>
                    <w:right w:w="15" w:type="dxa"/>
                  </w:tcMar>
                  <w:vAlign w:val="center"/>
                </w:tcPr>
                <w:p>
                  <w:pPr>
                    <w:tabs>
                      <w:tab w:val="left" w:pos="417"/>
                      <w:tab w:val="left" w:pos="3615"/>
                    </w:tabs>
                    <w:jc w:val="center"/>
                    <w:rPr>
                      <w:sz w:val="20"/>
                    </w:rPr>
                  </w:pPr>
                  <w:r>
                    <w:rPr>
                      <w:sz w:val="20"/>
                    </w:rPr>
                    <w:t>65</w:t>
                  </w:r>
                </w:p>
              </w:tc>
              <w:tc>
                <w:tcPr>
                  <w:tcW w:w="425" w:type="dxa"/>
                  <w:tcMar>
                    <w:top w:w="15" w:type="dxa"/>
                    <w:left w:w="15" w:type="dxa"/>
                    <w:right w:w="15" w:type="dxa"/>
                  </w:tcMar>
                  <w:vAlign w:val="center"/>
                </w:tcPr>
                <w:p>
                  <w:pPr>
                    <w:tabs>
                      <w:tab w:val="left" w:pos="417"/>
                      <w:tab w:val="left" w:pos="3615"/>
                    </w:tabs>
                    <w:jc w:val="center"/>
                    <w:rPr>
                      <w:sz w:val="20"/>
                    </w:rPr>
                  </w:pPr>
                  <w:r>
                    <w:rPr>
                      <w:sz w:val="20"/>
                    </w:rPr>
                    <w:t>65</w:t>
                  </w:r>
                </w:p>
              </w:tc>
              <w:tc>
                <w:tcPr>
                  <w:tcW w:w="425" w:type="dxa"/>
                  <w:tcMar>
                    <w:top w:w="15" w:type="dxa"/>
                    <w:left w:w="15" w:type="dxa"/>
                    <w:right w:w="15" w:type="dxa"/>
                  </w:tcMar>
                  <w:vAlign w:val="center"/>
                </w:tcPr>
                <w:p>
                  <w:pPr>
                    <w:tabs>
                      <w:tab w:val="left" w:pos="417"/>
                      <w:tab w:val="left" w:pos="3615"/>
                    </w:tabs>
                    <w:jc w:val="center"/>
                    <w:rPr>
                      <w:sz w:val="20"/>
                    </w:rPr>
                  </w:pPr>
                  <w:r>
                    <w:rPr>
                      <w:sz w:val="20"/>
                    </w:rPr>
                    <w:t>163</w:t>
                  </w:r>
                </w:p>
              </w:tc>
              <w:tc>
                <w:tcPr>
                  <w:tcW w:w="413" w:type="dxa"/>
                  <w:tcMar>
                    <w:top w:w="15" w:type="dxa"/>
                    <w:left w:w="15" w:type="dxa"/>
                    <w:right w:w="15" w:type="dxa"/>
                  </w:tcMar>
                  <w:vAlign w:val="center"/>
                </w:tcPr>
                <w:p>
                  <w:pPr>
                    <w:tabs>
                      <w:tab w:val="left" w:pos="417"/>
                      <w:tab w:val="left" w:pos="3615"/>
                    </w:tabs>
                    <w:jc w:val="center"/>
                    <w:rPr>
                      <w:sz w:val="20"/>
                    </w:rPr>
                  </w:pPr>
                  <w:r>
                    <w:rPr>
                      <w:sz w:val="20"/>
                    </w:rPr>
                    <w:t>163</w:t>
                  </w:r>
                </w:p>
              </w:tc>
              <w:tc>
                <w:tcPr>
                  <w:tcW w:w="450" w:type="dxa"/>
                  <w:tcMar>
                    <w:top w:w="15" w:type="dxa"/>
                    <w:left w:w="15" w:type="dxa"/>
                    <w:right w:w="15" w:type="dxa"/>
                  </w:tcMar>
                  <w:vAlign w:val="center"/>
                </w:tcPr>
                <w:p>
                  <w:pPr>
                    <w:tabs>
                      <w:tab w:val="left" w:pos="417"/>
                      <w:tab w:val="left" w:pos="3615"/>
                    </w:tabs>
                    <w:jc w:val="center"/>
                    <w:rPr>
                      <w:sz w:val="20"/>
                    </w:rPr>
                  </w:pPr>
                  <w:r>
                    <w:rPr>
                      <w:sz w:val="20"/>
                    </w:rPr>
                    <w:t>392</w:t>
                  </w:r>
                </w:p>
              </w:tc>
              <w:tc>
                <w:tcPr>
                  <w:tcW w:w="387" w:type="dxa"/>
                  <w:tcMar>
                    <w:top w:w="15" w:type="dxa"/>
                    <w:left w:w="15" w:type="dxa"/>
                    <w:right w:w="15" w:type="dxa"/>
                  </w:tcMar>
                  <w:vAlign w:val="center"/>
                </w:tcPr>
                <w:p>
                  <w:pPr>
                    <w:tabs>
                      <w:tab w:val="left" w:pos="417"/>
                      <w:tab w:val="left" w:pos="3615"/>
                    </w:tabs>
                    <w:jc w:val="center"/>
                    <w:rPr>
                      <w:sz w:val="20"/>
                    </w:rPr>
                  </w:pPr>
                  <w:r>
                    <w:rPr>
                      <w:sz w:val="20"/>
                    </w:rPr>
                    <w:t>131</w:t>
                  </w:r>
                </w:p>
              </w:tc>
              <w:tc>
                <w:tcPr>
                  <w:tcW w:w="538" w:type="dxa"/>
                  <w:tcMar>
                    <w:top w:w="15" w:type="dxa"/>
                    <w:left w:w="15" w:type="dxa"/>
                    <w:right w:w="15" w:type="dxa"/>
                  </w:tcMar>
                  <w:vAlign w:val="center"/>
                </w:tcPr>
                <w:p>
                  <w:pPr>
                    <w:tabs>
                      <w:tab w:val="left" w:pos="417"/>
                      <w:tab w:val="left" w:pos="3615"/>
                    </w:tabs>
                    <w:jc w:val="center"/>
                    <w:rPr>
                      <w:sz w:val="20"/>
                    </w:rPr>
                  </w:pPr>
                  <w:r>
                    <w:rPr>
                      <w:sz w:val="20"/>
                    </w:rPr>
                    <w:t>980</w:t>
                  </w:r>
                </w:p>
              </w:tc>
              <w:tc>
                <w:tcPr>
                  <w:tcW w:w="475" w:type="dxa"/>
                  <w:tcMar>
                    <w:top w:w="15" w:type="dxa"/>
                    <w:left w:w="15" w:type="dxa"/>
                    <w:right w:w="15" w:type="dxa"/>
                  </w:tcMar>
                  <w:vAlign w:val="center"/>
                </w:tcPr>
                <w:p>
                  <w:pPr>
                    <w:tabs>
                      <w:tab w:val="left" w:pos="417"/>
                      <w:tab w:val="left" w:pos="3615"/>
                    </w:tabs>
                    <w:jc w:val="center"/>
                    <w:rPr>
                      <w:sz w:val="20"/>
                    </w:rPr>
                  </w:pPr>
                  <w:r>
                    <w:rPr>
                      <w:sz w:val="20"/>
                    </w:rPr>
                    <w:t>327</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60</w:t>
                  </w:r>
                </w:p>
              </w:tc>
              <w:tc>
                <w:tcPr>
                  <w:tcW w:w="575" w:type="dxa"/>
                  <w:tcMar>
                    <w:top w:w="15" w:type="dxa"/>
                    <w:left w:w="15" w:type="dxa"/>
                    <w:right w:w="15" w:type="dxa"/>
                  </w:tcMar>
                  <w:vAlign w:val="center"/>
                </w:tcPr>
                <w:p>
                  <w:pPr>
                    <w:tabs>
                      <w:tab w:val="left" w:pos="417"/>
                      <w:tab w:val="left" w:pos="3615"/>
                    </w:tabs>
                    <w:jc w:val="center"/>
                    <w:rPr>
                      <w:sz w:val="20"/>
                    </w:rPr>
                  </w:pPr>
                  <w:r>
                    <w:rPr>
                      <w:sz w:val="20"/>
                    </w:rPr>
                    <w:t>27</w:t>
                  </w:r>
                </w:p>
              </w:tc>
              <w:tc>
                <w:tcPr>
                  <w:tcW w:w="492" w:type="dxa"/>
                  <w:tcMar>
                    <w:top w:w="15" w:type="dxa"/>
                    <w:left w:w="15" w:type="dxa"/>
                    <w:right w:w="15" w:type="dxa"/>
                  </w:tcMar>
                  <w:vAlign w:val="center"/>
                </w:tcPr>
                <w:p>
                  <w:pPr>
                    <w:tabs>
                      <w:tab w:val="left" w:pos="417"/>
                      <w:tab w:val="left" w:pos="3615"/>
                    </w:tabs>
                    <w:jc w:val="center"/>
                    <w:rPr>
                      <w:sz w:val="20"/>
                    </w:rPr>
                  </w:pPr>
                  <w:r>
                    <w:rPr>
                      <w:sz w:val="20"/>
                    </w:rPr>
                    <w:t>3023</w:t>
                  </w:r>
                </w:p>
              </w:tc>
              <w:tc>
                <w:tcPr>
                  <w:tcW w:w="474" w:type="dxa"/>
                  <w:tcMar>
                    <w:top w:w="15" w:type="dxa"/>
                    <w:left w:w="15" w:type="dxa"/>
                    <w:right w:w="15" w:type="dxa"/>
                  </w:tcMar>
                  <w:vAlign w:val="center"/>
                </w:tcPr>
                <w:p>
                  <w:pPr>
                    <w:tabs>
                      <w:tab w:val="left" w:pos="417"/>
                      <w:tab w:val="left" w:pos="3615"/>
                    </w:tabs>
                    <w:jc w:val="center"/>
                    <w:rPr>
                      <w:sz w:val="20"/>
                    </w:rPr>
                  </w:pPr>
                  <w:r>
                    <w:rPr>
                      <w:sz w:val="20"/>
                    </w:rP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马头</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151</w:t>
                  </w:r>
                </w:p>
              </w:tc>
              <w:tc>
                <w:tcPr>
                  <w:tcW w:w="413" w:type="dxa"/>
                  <w:tcMar>
                    <w:top w:w="15" w:type="dxa"/>
                    <w:left w:w="15" w:type="dxa"/>
                    <w:right w:w="15" w:type="dxa"/>
                  </w:tcMar>
                  <w:vAlign w:val="center"/>
                </w:tcPr>
                <w:p>
                  <w:pPr>
                    <w:tabs>
                      <w:tab w:val="left" w:pos="417"/>
                      <w:tab w:val="left" w:pos="3615"/>
                    </w:tabs>
                    <w:jc w:val="center"/>
                    <w:rPr>
                      <w:sz w:val="20"/>
                    </w:rPr>
                  </w:pPr>
                  <w:r>
                    <w:rPr>
                      <w:sz w:val="20"/>
                    </w:rPr>
                    <w:t>151</w:t>
                  </w:r>
                </w:p>
              </w:tc>
              <w:tc>
                <w:tcPr>
                  <w:tcW w:w="450" w:type="dxa"/>
                  <w:tcMar>
                    <w:top w:w="15" w:type="dxa"/>
                    <w:left w:w="15" w:type="dxa"/>
                    <w:right w:w="15" w:type="dxa"/>
                  </w:tcMar>
                  <w:vAlign w:val="center"/>
                </w:tcPr>
                <w:p>
                  <w:pPr>
                    <w:tabs>
                      <w:tab w:val="left" w:pos="417"/>
                      <w:tab w:val="left" w:pos="3615"/>
                    </w:tabs>
                    <w:jc w:val="center"/>
                    <w:rPr>
                      <w:sz w:val="20"/>
                    </w:rPr>
                  </w:pPr>
                  <w:r>
                    <w:rPr>
                      <w:sz w:val="20"/>
                    </w:rPr>
                    <w:t>363</w:t>
                  </w:r>
                </w:p>
              </w:tc>
              <w:tc>
                <w:tcPr>
                  <w:tcW w:w="387" w:type="dxa"/>
                  <w:tcMar>
                    <w:top w:w="15" w:type="dxa"/>
                    <w:left w:w="15" w:type="dxa"/>
                    <w:right w:w="15" w:type="dxa"/>
                  </w:tcMar>
                  <w:vAlign w:val="center"/>
                </w:tcPr>
                <w:p>
                  <w:pPr>
                    <w:tabs>
                      <w:tab w:val="left" w:pos="417"/>
                      <w:tab w:val="left" w:pos="3615"/>
                    </w:tabs>
                    <w:jc w:val="center"/>
                    <w:rPr>
                      <w:sz w:val="20"/>
                    </w:rPr>
                  </w:pPr>
                  <w:r>
                    <w:rPr>
                      <w:sz w:val="20"/>
                    </w:rPr>
                    <w:t>121</w:t>
                  </w:r>
                </w:p>
              </w:tc>
              <w:tc>
                <w:tcPr>
                  <w:tcW w:w="538" w:type="dxa"/>
                  <w:tcMar>
                    <w:top w:w="15" w:type="dxa"/>
                    <w:left w:w="15" w:type="dxa"/>
                    <w:right w:w="15" w:type="dxa"/>
                  </w:tcMar>
                  <w:vAlign w:val="center"/>
                </w:tcPr>
                <w:p>
                  <w:pPr>
                    <w:tabs>
                      <w:tab w:val="left" w:pos="417"/>
                      <w:tab w:val="left" w:pos="3615"/>
                    </w:tabs>
                    <w:jc w:val="center"/>
                    <w:rPr>
                      <w:sz w:val="20"/>
                    </w:rPr>
                  </w:pPr>
                  <w:r>
                    <w:rPr>
                      <w:sz w:val="20"/>
                    </w:rPr>
                    <w:t>907</w:t>
                  </w:r>
                </w:p>
              </w:tc>
              <w:tc>
                <w:tcPr>
                  <w:tcW w:w="475" w:type="dxa"/>
                  <w:tcMar>
                    <w:top w:w="15" w:type="dxa"/>
                    <w:left w:w="15" w:type="dxa"/>
                    <w:right w:w="15" w:type="dxa"/>
                  </w:tcMar>
                  <w:vAlign w:val="center"/>
                </w:tcPr>
                <w:p>
                  <w:pPr>
                    <w:tabs>
                      <w:tab w:val="left" w:pos="417"/>
                      <w:tab w:val="left" w:pos="3615"/>
                    </w:tabs>
                    <w:jc w:val="center"/>
                    <w:rPr>
                      <w:sz w:val="20"/>
                    </w:rPr>
                  </w:pPr>
                  <w:r>
                    <w:rPr>
                      <w:sz w:val="20"/>
                    </w:rPr>
                    <w:t>302</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12</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56</w:t>
                  </w:r>
                </w:p>
              </w:tc>
              <w:tc>
                <w:tcPr>
                  <w:tcW w:w="575" w:type="dxa"/>
                  <w:tcMar>
                    <w:top w:w="15" w:type="dxa"/>
                    <w:left w:w="15" w:type="dxa"/>
                    <w:right w:w="15" w:type="dxa"/>
                  </w:tcMar>
                  <w:vAlign w:val="center"/>
                </w:tcPr>
                <w:p>
                  <w:pPr>
                    <w:tabs>
                      <w:tab w:val="left" w:pos="417"/>
                      <w:tab w:val="left" w:pos="3615"/>
                    </w:tabs>
                    <w:jc w:val="center"/>
                    <w:rPr>
                      <w:sz w:val="20"/>
                    </w:rPr>
                  </w:pPr>
                  <w:r>
                    <w:rPr>
                      <w:sz w:val="20"/>
                    </w:rPr>
                    <w:t>25</w:t>
                  </w:r>
                </w:p>
              </w:tc>
              <w:tc>
                <w:tcPr>
                  <w:tcW w:w="492" w:type="dxa"/>
                  <w:tcMar>
                    <w:top w:w="15" w:type="dxa"/>
                    <w:left w:w="15" w:type="dxa"/>
                    <w:right w:w="15" w:type="dxa"/>
                  </w:tcMar>
                  <w:vAlign w:val="center"/>
                </w:tcPr>
                <w:p>
                  <w:pPr>
                    <w:tabs>
                      <w:tab w:val="left" w:pos="417"/>
                      <w:tab w:val="left" w:pos="3615"/>
                    </w:tabs>
                    <w:jc w:val="center"/>
                    <w:rPr>
                      <w:sz w:val="20"/>
                    </w:rPr>
                  </w:pPr>
                  <w:r>
                    <w:rPr>
                      <w:sz w:val="20"/>
                    </w:rPr>
                    <w:t>2796</w:t>
                  </w:r>
                </w:p>
              </w:tc>
              <w:tc>
                <w:tcPr>
                  <w:tcW w:w="474" w:type="dxa"/>
                  <w:tcMar>
                    <w:top w:w="15" w:type="dxa"/>
                    <w:left w:w="15" w:type="dxa"/>
                    <w:right w:w="15" w:type="dxa"/>
                  </w:tcMar>
                  <w:vAlign w:val="center"/>
                </w:tcPr>
                <w:p>
                  <w:pPr>
                    <w:tabs>
                      <w:tab w:val="left" w:pos="417"/>
                      <w:tab w:val="left" w:pos="3615"/>
                    </w:tabs>
                    <w:jc w:val="center"/>
                    <w:rPr>
                      <w:sz w:val="20"/>
                    </w:rPr>
                  </w:pPr>
                  <w:r>
                    <w:rPr>
                      <w:sz w:val="20"/>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柒树</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150</w:t>
                  </w:r>
                </w:p>
              </w:tc>
              <w:tc>
                <w:tcPr>
                  <w:tcW w:w="413" w:type="dxa"/>
                  <w:tcMar>
                    <w:top w:w="15" w:type="dxa"/>
                    <w:left w:w="15" w:type="dxa"/>
                    <w:right w:w="15" w:type="dxa"/>
                  </w:tcMar>
                  <w:vAlign w:val="center"/>
                </w:tcPr>
                <w:p>
                  <w:pPr>
                    <w:tabs>
                      <w:tab w:val="left" w:pos="417"/>
                      <w:tab w:val="left" w:pos="3615"/>
                    </w:tabs>
                    <w:jc w:val="center"/>
                    <w:rPr>
                      <w:sz w:val="20"/>
                    </w:rPr>
                  </w:pPr>
                  <w:r>
                    <w:rPr>
                      <w:sz w:val="20"/>
                    </w:rPr>
                    <w:t>150</w:t>
                  </w:r>
                </w:p>
              </w:tc>
              <w:tc>
                <w:tcPr>
                  <w:tcW w:w="450" w:type="dxa"/>
                  <w:tcMar>
                    <w:top w:w="15" w:type="dxa"/>
                    <w:left w:w="15" w:type="dxa"/>
                    <w:right w:w="15" w:type="dxa"/>
                  </w:tcMar>
                  <w:vAlign w:val="center"/>
                </w:tcPr>
                <w:p>
                  <w:pPr>
                    <w:tabs>
                      <w:tab w:val="left" w:pos="417"/>
                      <w:tab w:val="left" w:pos="3615"/>
                    </w:tabs>
                    <w:jc w:val="center"/>
                    <w:rPr>
                      <w:sz w:val="20"/>
                    </w:rPr>
                  </w:pPr>
                  <w:r>
                    <w:rPr>
                      <w:sz w:val="20"/>
                    </w:rPr>
                    <w:t>361</w:t>
                  </w:r>
                </w:p>
              </w:tc>
              <w:tc>
                <w:tcPr>
                  <w:tcW w:w="387" w:type="dxa"/>
                  <w:tcMar>
                    <w:top w:w="15" w:type="dxa"/>
                    <w:left w:w="15" w:type="dxa"/>
                    <w:right w:w="15" w:type="dxa"/>
                  </w:tcMar>
                  <w:vAlign w:val="center"/>
                </w:tcPr>
                <w:p>
                  <w:pPr>
                    <w:tabs>
                      <w:tab w:val="left" w:pos="417"/>
                      <w:tab w:val="left" w:pos="3615"/>
                    </w:tabs>
                    <w:jc w:val="center"/>
                    <w:rPr>
                      <w:sz w:val="20"/>
                    </w:rPr>
                  </w:pPr>
                  <w:r>
                    <w:rPr>
                      <w:sz w:val="20"/>
                    </w:rPr>
                    <w:t>120</w:t>
                  </w:r>
                </w:p>
              </w:tc>
              <w:tc>
                <w:tcPr>
                  <w:tcW w:w="538" w:type="dxa"/>
                  <w:tcMar>
                    <w:top w:w="15" w:type="dxa"/>
                    <w:left w:w="15" w:type="dxa"/>
                    <w:right w:w="15" w:type="dxa"/>
                  </w:tcMar>
                  <w:vAlign w:val="center"/>
                </w:tcPr>
                <w:p>
                  <w:pPr>
                    <w:tabs>
                      <w:tab w:val="left" w:pos="417"/>
                      <w:tab w:val="left" w:pos="3615"/>
                    </w:tabs>
                    <w:jc w:val="center"/>
                    <w:rPr>
                      <w:sz w:val="20"/>
                    </w:rPr>
                  </w:pPr>
                  <w:r>
                    <w:rPr>
                      <w:sz w:val="20"/>
                    </w:rPr>
                    <w:t>902</w:t>
                  </w:r>
                </w:p>
              </w:tc>
              <w:tc>
                <w:tcPr>
                  <w:tcW w:w="475" w:type="dxa"/>
                  <w:tcMar>
                    <w:top w:w="15" w:type="dxa"/>
                    <w:left w:w="15" w:type="dxa"/>
                    <w:right w:w="15" w:type="dxa"/>
                  </w:tcMar>
                  <w:vAlign w:val="center"/>
                </w:tcPr>
                <w:p>
                  <w:pPr>
                    <w:tabs>
                      <w:tab w:val="left" w:pos="417"/>
                      <w:tab w:val="left" w:pos="3615"/>
                    </w:tabs>
                    <w:jc w:val="center"/>
                    <w:rPr>
                      <w:sz w:val="20"/>
                    </w:rPr>
                  </w:pPr>
                  <w:r>
                    <w:rPr>
                      <w:sz w:val="20"/>
                    </w:rPr>
                    <w:t>301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12</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56</w:t>
                  </w:r>
                </w:p>
              </w:tc>
              <w:tc>
                <w:tcPr>
                  <w:tcW w:w="575" w:type="dxa"/>
                  <w:tcMar>
                    <w:top w:w="15" w:type="dxa"/>
                    <w:left w:w="15" w:type="dxa"/>
                    <w:right w:w="15" w:type="dxa"/>
                  </w:tcMar>
                  <w:vAlign w:val="center"/>
                </w:tcPr>
                <w:p>
                  <w:pPr>
                    <w:tabs>
                      <w:tab w:val="left" w:pos="417"/>
                      <w:tab w:val="left" w:pos="3615"/>
                    </w:tabs>
                    <w:jc w:val="center"/>
                    <w:rPr>
                      <w:sz w:val="20"/>
                    </w:rPr>
                  </w:pPr>
                  <w:r>
                    <w:rPr>
                      <w:sz w:val="20"/>
                    </w:rPr>
                    <w:t>24</w:t>
                  </w:r>
                </w:p>
              </w:tc>
              <w:tc>
                <w:tcPr>
                  <w:tcW w:w="492" w:type="dxa"/>
                  <w:tcMar>
                    <w:top w:w="15" w:type="dxa"/>
                    <w:left w:w="15" w:type="dxa"/>
                    <w:right w:w="15" w:type="dxa"/>
                  </w:tcMar>
                  <w:vAlign w:val="center"/>
                </w:tcPr>
                <w:p>
                  <w:pPr>
                    <w:tabs>
                      <w:tab w:val="left" w:pos="417"/>
                      <w:tab w:val="left" w:pos="3615"/>
                    </w:tabs>
                    <w:jc w:val="center"/>
                    <w:rPr>
                      <w:sz w:val="20"/>
                    </w:rPr>
                  </w:pPr>
                  <w:r>
                    <w:rPr>
                      <w:sz w:val="20"/>
                    </w:rPr>
                    <w:t>2780</w:t>
                  </w:r>
                </w:p>
              </w:tc>
              <w:tc>
                <w:tcPr>
                  <w:tcW w:w="474" w:type="dxa"/>
                  <w:tcMar>
                    <w:top w:w="15" w:type="dxa"/>
                    <w:left w:w="15" w:type="dxa"/>
                    <w:right w:w="15" w:type="dxa"/>
                  </w:tcMar>
                  <w:vAlign w:val="center"/>
                </w:tcPr>
                <w:p>
                  <w:pPr>
                    <w:tabs>
                      <w:tab w:val="left" w:pos="417"/>
                      <w:tab w:val="left" w:pos="3615"/>
                    </w:tabs>
                    <w:jc w:val="center"/>
                    <w:rPr>
                      <w:sz w:val="20"/>
                    </w:rPr>
                  </w:pPr>
                  <w:r>
                    <w:rPr>
                      <w:sz w:val="20"/>
                    </w:rPr>
                    <w:t>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白米</w:t>
                  </w:r>
                </w:p>
              </w:tc>
              <w:tc>
                <w:tcPr>
                  <w:tcW w:w="662" w:type="dxa"/>
                  <w:tcMar>
                    <w:top w:w="15" w:type="dxa"/>
                    <w:left w:w="15" w:type="dxa"/>
                    <w:right w:w="15" w:type="dxa"/>
                  </w:tcMar>
                  <w:vAlign w:val="center"/>
                </w:tcPr>
                <w:p>
                  <w:pPr>
                    <w:tabs>
                      <w:tab w:val="left" w:pos="417"/>
                      <w:tab w:val="left" w:pos="3615"/>
                    </w:tabs>
                    <w:jc w:val="center"/>
                    <w:rPr>
                      <w:sz w:val="20"/>
                    </w:rPr>
                  </w:pPr>
                  <w:r>
                    <w:rPr>
                      <w:sz w:val="20"/>
                    </w:rPr>
                    <w:t>白米</w:t>
                  </w:r>
                </w:p>
              </w:tc>
              <w:tc>
                <w:tcPr>
                  <w:tcW w:w="425" w:type="dxa"/>
                  <w:tcMar>
                    <w:top w:w="15" w:type="dxa"/>
                    <w:left w:w="15" w:type="dxa"/>
                    <w:right w:w="15" w:type="dxa"/>
                  </w:tcMar>
                  <w:vAlign w:val="center"/>
                </w:tcPr>
                <w:p>
                  <w:pPr>
                    <w:tabs>
                      <w:tab w:val="left" w:pos="417"/>
                      <w:tab w:val="left" w:pos="3615"/>
                    </w:tabs>
                    <w:jc w:val="center"/>
                    <w:rPr>
                      <w:sz w:val="20"/>
                    </w:rPr>
                  </w:pPr>
                  <w:r>
                    <w:rPr>
                      <w:sz w:val="20"/>
                    </w:rPr>
                    <w:t>114</w:t>
                  </w:r>
                </w:p>
              </w:tc>
              <w:tc>
                <w:tcPr>
                  <w:tcW w:w="425" w:type="dxa"/>
                  <w:tcMar>
                    <w:top w:w="15" w:type="dxa"/>
                    <w:left w:w="15" w:type="dxa"/>
                    <w:right w:w="15" w:type="dxa"/>
                  </w:tcMar>
                  <w:vAlign w:val="center"/>
                </w:tcPr>
                <w:p>
                  <w:pPr>
                    <w:tabs>
                      <w:tab w:val="left" w:pos="417"/>
                      <w:tab w:val="left" w:pos="3615"/>
                    </w:tabs>
                    <w:jc w:val="center"/>
                    <w:rPr>
                      <w:sz w:val="20"/>
                    </w:rPr>
                  </w:pPr>
                  <w:r>
                    <w:rPr>
                      <w:sz w:val="20"/>
                    </w:rPr>
                    <w:t>114</w:t>
                  </w:r>
                </w:p>
              </w:tc>
              <w:tc>
                <w:tcPr>
                  <w:tcW w:w="425" w:type="dxa"/>
                  <w:tcMar>
                    <w:top w:w="15" w:type="dxa"/>
                    <w:left w:w="15" w:type="dxa"/>
                    <w:right w:w="15" w:type="dxa"/>
                  </w:tcMar>
                  <w:vAlign w:val="center"/>
                </w:tcPr>
                <w:p>
                  <w:pPr>
                    <w:tabs>
                      <w:tab w:val="left" w:pos="417"/>
                      <w:tab w:val="left" w:pos="3615"/>
                    </w:tabs>
                    <w:jc w:val="center"/>
                    <w:rPr>
                      <w:sz w:val="20"/>
                    </w:rPr>
                  </w:pPr>
                  <w:r>
                    <w:rPr>
                      <w:sz w:val="20"/>
                    </w:rPr>
                    <w:t>285</w:t>
                  </w:r>
                </w:p>
              </w:tc>
              <w:tc>
                <w:tcPr>
                  <w:tcW w:w="413" w:type="dxa"/>
                  <w:tcMar>
                    <w:top w:w="15" w:type="dxa"/>
                    <w:left w:w="15" w:type="dxa"/>
                    <w:right w:w="15" w:type="dxa"/>
                  </w:tcMar>
                  <w:vAlign w:val="center"/>
                </w:tcPr>
                <w:p>
                  <w:pPr>
                    <w:tabs>
                      <w:tab w:val="left" w:pos="417"/>
                      <w:tab w:val="left" w:pos="3615"/>
                    </w:tabs>
                    <w:jc w:val="center"/>
                    <w:rPr>
                      <w:sz w:val="20"/>
                    </w:rPr>
                  </w:pPr>
                  <w:r>
                    <w:rPr>
                      <w:sz w:val="20"/>
                    </w:rPr>
                    <w:t>285</w:t>
                  </w:r>
                </w:p>
              </w:tc>
              <w:tc>
                <w:tcPr>
                  <w:tcW w:w="450" w:type="dxa"/>
                  <w:tcMar>
                    <w:top w:w="15" w:type="dxa"/>
                    <w:left w:w="15" w:type="dxa"/>
                    <w:right w:w="15" w:type="dxa"/>
                  </w:tcMar>
                  <w:vAlign w:val="center"/>
                </w:tcPr>
                <w:p>
                  <w:pPr>
                    <w:tabs>
                      <w:tab w:val="left" w:pos="417"/>
                      <w:tab w:val="left" w:pos="3615"/>
                    </w:tabs>
                    <w:jc w:val="center"/>
                    <w:rPr>
                      <w:sz w:val="20"/>
                    </w:rPr>
                  </w:pPr>
                  <w:r>
                    <w:rPr>
                      <w:sz w:val="20"/>
                    </w:rPr>
                    <w:t>685</w:t>
                  </w:r>
                </w:p>
              </w:tc>
              <w:tc>
                <w:tcPr>
                  <w:tcW w:w="387" w:type="dxa"/>
                  <w:tcMar>
                    <w:top w:w="15" w:type="dxa"/>
                    <w:left w:w="15" w:type="dxa"/>
                    <w:right w:w="15" w:type="dxa"/>
                  </w:tcMar>
                  <w:vAlign w:val="center"/>
                </w:tcPr>
                <w:p>
                  <w:pPr>
                    <w:tabs>
                      <w:tab w:val="left" w:pos="417"/>
                      <w:tab w:val="left" w:pos="3615"/>
                    </w:tabs>
                    <w:jc w:val="center"/>
                    <w:rPr>
                      <w:sz w:val="20"/>
                    </w:rPr>
                  </w:pPr>
                  <w:r>
                    <w:rPr>
                      <w:sz w:val="20"/>
                    </w:rPr>
                    <w:t>228</w:t>
                  </w:r>
                </w:p>
              </w:tc>
              <w:tc>
                <w:tcPr>
                  <w:tcW w:w="538" w:type="dxa"/>
                  <w:tcMar>
                    <w:top w:w="15" w:type="dxa"/>
                    <w:left w:w="15" w:type="dxa"/>
                    <w:right w:w="15" w:type="dxa"/>
                  </w:tcMar>
                  <w:vAlign w:val="center"/>
                </w:tcPr>
                <w:p>
                  <w:pPr>
                    <w:tabs>
                      <w:tab w:val="left" w:pos="417"/>
                      <w:tab w:val="left" w:pos="3615"/>
                    </w:tabs>
                    <w:jc w:val="center"/>
                    <w:rPr>
                      <w:sz w:val="20"/>
                    </w:rPr>
                  </w:pPr>
                  <w:r>
                    <w:rPr>
                      <w:sz w:val="20"/>
                    </w:rPr>
                    <w:t>1711</w:t>
                  </w:r>
                </w:p>
              </w:tc>
              <w:tc>
                <w:tcPr>
                  <w:tcW w:w="475" w:type="dxa"/>
                  <w:tcMar>
                    <w:top w:w="15" w:type="dxa"/>
                    <w:left w:w="15" w:type="dxa"/>
                    <w:right w:w="15" w:type="dxa"/>
                  </w:tcMar>
                  <w:vAlign w:val="center"/>
                </w:tcPr>
                <w:p>
                  <w:pPr>
                    <w:tabs>
                      <w:tab w:val="left" w:pos="417"/>
                      <w:tab w:val="left" w:pos="3615"/>
                    </w:tabs>
                    <w:jc w:val="center"/>
                    <w:rPr>
                      <w:sz w:val="20"/>
                    </w:rPr>
                  </w:pPr>
                  <w:r>
                    <w:rPr>
                      <w:sz w:val="20"/>
                    </w:rPr>
                    <w:t>570</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23</w:t>
                  </w:r>
                </w:p>
              </w:tc>
              <w:tc>
                <w:tcPr>
                  <w:tcW w:w="425" w:type="dxa"/>
                  <w:tcMar>
                    <w:top w:w="15" w:type="dxa"/>
                    <w:left w:w="15" w:type="dxa"/>
                    <w:right w:w="15" w:type="dxa"/>
                  </w:tcMar>
                  <w:vAlign w:val="center"/>
                </w:tcPr>
                <w:p>
                  <w:pPr>
                    <w:tabs>
                      <w:tab w:val="left" w:pos="417"/>
                      <w:tab w:val="left" w:pos="3615"/>
                    </w:tabs>
                    <w:jc w:val="center"/>
                    <w:rPr>
                      <w:sz w:val="20"/>
                    </w:rPr>
                  </w:pPr>
                  <w:r>
                    <w:rPr>
                      <w:sz w:val="20"/>
                    </w:rPr>
                    <w:t>8</w:t>
                  </w:r>
                </w:p>
              </w:tc>
              <w:tc>
                <w:tcPr>
                  <w:tcW w:w="463" w:type="dxa"/>
                  <w:tcMar>
                    <w:top w:w="15" w:type="dxa"/>
                    <w:left w:w="15" w:type="dxa"/>
                    <w:right w:w="15" w:type="dxa"/>
                  </w:tcMar>
                  <w:vAlign w:val="center"/>
                </w:tcPr>
                <w:p>
                  <w:pPr>
                    <w:tabs>
                      <w:tab w:val="left" w:pos="417"/>
                      <w:tab w:val="left" w:pos="3615"/>
                    </w:tabs>
                    <w:jc w:val="center"/>
                    <w:rPr>
                      <w:sz w:val="20"/>
                    </w:rPr>
                  </w:pPr>
                  <w:r>
                    <w:rPr>
                      <w:sz w:val="20"/>
                    </w:rPr>
                    <w:t>26</w:t>
                  </w:r>
                </w:p>
              </w:tc>
              <w:tc>
                <w:tcPr>
                  <w:tcW w:w="475" w:type="dxa"/>
                  <w:tcMar>
                    <w:top w:w="15" w:type="dxa"/>
                    <w:left w:w="15" w:type="dxa"/>
                    <w:right w:w="15" w:type="dxa"/>
                  </w:tcMar>
                  <w:vAlign w:val="center"/>
                </w:tcPr>
                <w:p>
                  <w:pPr>
                    <w:tabs>
                      <w:tab w:val="left" w:pos="417"/>
                      <w:tab w:val="left" w:pos="3615"/>
                    </w:tabs>
                    <w:jc w:val="center"/>
                    <w:rPr>
                      <w:sz w:val="20"/>
                    </w:rPr>
                  </w:pPr>
                  <w:r>
                    <w:rPr>
                      <w:sz w:val="20"/>
                    </w:rPr>
                    <w:t>106</w:t>
                  </w:r>
                </w:p>
              </w:tc>
              <w:tc>
                <w:tcPr>
                  <w:tcW w:w="575" w:type="dxa"/>
                  <w:tcMar>
                    <w:top w:w="15" w:type="dxa"/>
                    <w:left w:w="15" w:type="dxa"/>
                    <w:right w:w="15" w:type="dxa"/>
                  </w:tcMar>
                  <w:vAlign w:val="center"/>
                </w:tcPr>
                <w:p>
                  <w:pPr>
                    <w:tabs>
                      <w:tab w:val="left" w:pos="417"/>
                      <w:tab w:val="left" w:pos="3615"/>
                    </w:tabs>
                    <w:jc w:val="center"/>
                    <w:rPr>
                      <w:sz w:val="20"/>
                    </w:rPr>
                  </w:pPr>
                  <w:r>
                    <w:rPr>
                      <w:sz w:val="20"/>
                    </w:rPr>
                    <w:t>46</w:t>
                  </w:r>
                </w:p>
              </w:tc>
              <w:tc>
                <w:tcPr>
                  <w:tcW w:w="492" w:type="dxa"/>
                  <w:tcMar>
                    <w:top w:w="15" w:type="dxa"/>
                    <w:left w:w="15" w:type="dxa"/>
                    <w:right w:w="15" w:type="dxa"/>
                  </w:tcMar>
                  <w:vAlign w:val="center"/>
                </w:tcPr>
                <w:p>
                  <w:pPr>
                    <w:tabs>
                      <w:tab w:val="left" w:pos="417"/>
                      <w:tab w:val="left" w:pos="3615"/>
                    </w:tabs>
                    <w:jc w:val="center"/>
                    <w:rPr>
                      <w:sz w:val="20"/>
                    </w:rPr>
                  </w:pPr>
                  <w:r>
                    <w:rPr>
                      <w:sz w:val="20"/>
                    </w:rPr>
                    <w:t>5277</w:t>
                  </w:r>
                </w:p>
              </w:tc>
              <w:tc>
                <w:tcPr>
                  <w:tcW w:w="474" w:type="dxa"/>
                  <w:tcMar>
                    <w:top w:w="15" w:type="dxa"/>
                    <w:left w:w="15" w:type="dxa"/>
                    <w:right w:w="15" w:type="dxa"/>
                  </w:tcMar>
                  <w:vAlign w:val="center"/>
                </w:tcPr>
                <w:p>
                  <w:pPr>
                    <w:tabs>
                      <w:tab w:val="left" w:pos="417"/>
                      <w:tab w:val="left" w:pos="3615"/>
                    </w:tabs>
                    <w:jc w:val="center"/>
                    <w:rPr>
                      <w:sz w:val="20"/>
                    </w:rPr>
                  </w:pPr>
                  <w:r>
                    <w:rPr>
                      <w:sz w:val="20"/>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草甲</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121</w:t>
                  </w:r>
                </w:p>
              </w:tc>
              <w:tc>
                <w:tcPr>
                  <w:tcW w:w="413" w:type="dxa"/>
                  <w:tcMar>
                    <w:top w:w="15" w:type="dxa"/>
                    <w:left w:w="15" w:type="dxa"/>
                    <w:right w:w="15" w:type="dxa"/>
                  </w:tcMar>
                  <w:vAlign w:val="center"/>
                </w:tcPr>
                <w:p>
                  <w:pPr>
                    <w:tabs>
                      <w:tab w:val="left" w:pos="417"/>
                      <w:tab w:val="left" w:pos="3615"/>
                    </w:tabs>
                    <w:jc w:val="center"/>
                    <w:rPr>
                      <w:sz w:val="20"/>
                    </w:rPr>
                  </w:pPr>
                  <w:r>
                    <w:rPr>
                      <w:sz w:val="20"/>
                    </w:rPr>
                    <w:t>121</w:t>
                  </w:r>
                </w:p>
              </w:tc>
              <w:tc>
                <w:tcPr>
                  <w:tcW w:w="450" w:type="dxa"/>
                  <w:tcMar>
                    <w:top w:w="15" w:type="dxa"/>
                    <w:left w:w="15" w:type="dxa"/>
                    <w:right w:w="15" w:type="dxa"/>
                  </w:tcMar>
                  <w:vAlign w:val="center"/>
                </w:tcPr>
                <w:p>
                  <w:pPr>
                    <w:tabs>
                      <w:tab w:val="left" w:pos="417"/>
                      <w:tab w:val="left" w:pos="3615"/>
                    </w:tabs>
                    <w:jc w:val="center"/>
                    <w:rPr>
                      <w:sz w:val="20"/>
                    </w:rPr>
                  </w:pPr>
                  <w:r>
                    <w:rPr>
                      <w:sz w:val="20"/>
                    </w:rPr>
                    <w:t>289</w:t>
                  </w:r>
                </w:p>
              </w:tc>
              <w:tc>
                <w:tcPr>
                  <w:tcW w:w="387" w:type="dxa"/>
                  <w:tcMar>
                    <w:top w:w="15" w:type="dxa"/>
                    <w:left w:w="15" w:type="dxa"/>
                    <w:right w:w="15" w:type="dxa"/>
                  </w:tcMar>
                  <w:vAlign w:val="center"/>
                </w:tcPr>
                <w:p>
                  <w:pPr>
                    <w:tabs>
                      <w:tab w:val="left" w:pos="417"/>
                      <w:tab w:val="left" w:pos="3615"/>
                    </w:tabs>
                    <w:jc w:val="center"/>
                    <w:rPr>
                      <w:sz w:val="20"/>
                    </w:rPr>
                  </w:pPr>
                  <w:r>
                    <w:rPr>
                      <w:sz w:val="20"/>
                    </w:rPr>
                    <w:t>96</w:t>
                  </w:r>
                </w:p>
              </w:tc>
              <w:tc>
                <w:tcPr>
                  <w:tcW w:w="538" w:type="dxa"/>
                  <w:tcMar>
                    <w:top w:w="15" w:type="dxa"/>
                    <w:left w:w="15" w:type="dxa"/>
                    <w:right w:w="15" w:type="dxa"/>
                  </w:tcMar>
                  <w:vAlign w:val="center"/>
                </w:tcPr>
                <w:p>
                  <w:pPr>
                    <w:tabs>
                      <w:tab w:val="left" w:pos="417"/>
                      <w:tab w:val="left" w:pos="3615"/>
                    </w:tabs>
                    <w:jc w:val="center"/>
                    <w:rPr>
                      <w:sz w:val="20"/>
                    </w:rPr>
                  </w:pPr>
                  <w:r>
                    <w:rPr>
                      <w:sz w:val="20"/>
                    </w:rPr>
                    <w:t>723</w:t>
                  </w:r>
                </w:p>
              </w:tc>
              <w:tc>
                <w:tcPr>
                  <w:tcW w:w="475" w:type="dxa"/>
                  <w:tcMar>
                    <w:top w:w="15" w:type="dxa"/>
                    <w:left w:w="15" w:type="dxa"/>
                    <w:right w:w="15" w:type="dxa"/>
                  </w:tcMar>
                  <w:vAlign w:val="center"/>
                </w:tcPr>
                <w:p>
                  <w:pPr>
                    <w:tabs>
                      <w:tab w:val="left" w:pos="417"/>
                      <w:tab w:val="left" w:pos="3615"/>
                    </w:tabs>
                    <w:jc w:val="center"/>
                    <w:rPr>
                      <w:sz w:val="20"/>
                    </w:rPr>
                  </w:pPr>
                  <w:r>
                    <w:rPr>
                      <w:sz w:val="20"/>
                    </w:rPr>
                    <w:t>241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10</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11</w:t>
                  </w:r>
                </w:p>
              </w:tc>
              <w:tc>
                <w:tcPr>
                  <w:tcW w:w="475" w:type="dxa"/>
                  <w:tcMar>
                    <w:top w:w="15" w:type="dxa"/>
                    <w:left w:w="15" w:type="dxa"/>
                    <w:right w:w="15" w:type="dxa"/>
                  </w:tcMar>
                  <w:vAlign w:val="center"/>
                </w:tcPr>
                <w:p>
                  <w:pPr>
                    <w:tabs>
                      <w:tab w:val="left" w:pos="417"/>
                      <w:tab w:val="left" w:pos="3615"/>
                    </w:tabs>
                    <w:jc w:val="center"/>
                    <w:rPr>
                      <w:sz w:val="20"/>
                    </w:rPr>
                  </w:pPr>
                  <w:r>
                    <w:rPr>
                      <w:sz w:val="20"/>
                    </w:rPr>
                    <w:t>45</w:t>
                  </w:r>
                </w:p>
              </w:tc>
              <w:tc>
                <w:tcPr>
                  <w:tcW w:w="575" w:type="dxa"/>
                  <w:tcMar>
                    <w:top w:w="15" w:type="dxa"/>
                    <w:left w:w="15" w:type="dxa"/>
                    <w:right w:w="15" w:type="dxa"/>
                  </w:tcMar>
                  <w:vAlign w:val="center"/>
                </w:tcPr>
                <w:p>
                  <w:pPr>
                    <w:tabs>
                      <w:tab w:val="left" w:pos="417"/>
                      <w:tab w:val="left" w:pos="3615"/>
                    </w:tabs>
                    <w:jc w:val="center"/>
                    <w:rPr>
                      <w:sz w:val="20"/>
                    </w:rPr>
                  </w:pPr>
                  <w:r>
                    <w:rPr>
                      <w:sz w:val="20"/>
                    </w:rPr>
                    <w:t>20</w:t>
                  </w:r>
                </w:p>
              </w:tc>
              <w:tc>
                <w:tcPr>
                  <w:tcW w:w="492" w:type="dxa"/>
                  <w:tcMar>
                    <w:top w:w="15" w:type="dxa"/>
                    <w:left w:w="15" w:type="dxa"/>
                    <w:right w:w="15" w:type="dxa"/>
                  </w:tcMar>
                  <w:vAlign w:val="center"/>
                </w:tcPr>
                <w:p>
                  <w:pPr>
                    <w:tabs>
                      <w:tab w:val="left" w:pos="417"/>
                      <w:tab w:val="left" w:pos="3615"/>
                    </w:tabs>
                    <w:jc w:val="center"/>
                    <w:rPr>
                      <w:sz w:val="20"/>
                    </w:rPr>
                  </w:pPr>
                  <w:r>
                    <w:rPr>
                      <w:sz w:val="20"/>
                    </w:rPr>
                    <w:t>2230</w:t>
                  </w:r>
                </w:p>
              </w:tc>
              <w:tc>
                <w:tcPr>
                  <w:tcW w:w="474" w:type="dxa"/>
                  <w:tcMar>
                    <w:top w:w="15" w:type="dxa"/>
                    <w:left w:w="15" w:type="dxa"/>
                    <w:right w:w="15" w:type="dxa"/>
                  </w:tcMar>
                  <w:vAlign w:val="center"/>
                </w:tcPr>
                <w:p>
                  <w:pPr>
                    <w:tabs>
                      <w:tab w:val="left" w:pos="417"/>
                      <w:tab w:val="left" w:pos="3615"/>
                    </w:tabs>
                    <w:jc w:val="center"/>
                    <w:rPr>
                      <w:sz w:val="20"/>
                    </w:rPr>
                  </w:pPr>
                  <w:r>
                    <w:rPr>
                      <w:sz w:val="20"/>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马甲</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158</w:t>
                  </w:r>
                </w:p>
              </w:tc>
              <w:tc>
                <w:tcPr>
                  <w:tcW w:w="413" w:type="dxa"/>
                  <w:tcMar>
                    <w:top w:w="15" w:type="dxa"/>
                    <w:left w:w="15" w:type="dxa"/>
                    <w:right w:w="15" w:type="dxa"/>
                  </w:tcMar>
                  <w:vAlign w:val="center"/>
                </w:tcPr>
                <w:p>
                  <w:pPr>
                    <w:tabs>
                      <w:tab w:val="left" w:pos="417"/>
                      <w:tab w:val="left" w:pos="3615"/>
                    </w:tabs>
                    <w:jc w:val="center"/>
                    <w:rPr>
                      <w:sz w:val="20"/>
                    </w:rPr>
                  </w:pPr>
                  <w:r>
                    <w:rPr>
                      <w:sz w:val="20"/>
                    </w:rPr>
                    <w:t>158</w:t>
                  </w:r>
                </w:p>
              </w:tc>
              <w:tc>
                <w:tcPr>
                  <w:tcW w:w="450" w:type="dxa"/>
                  <w:tcMar>
                    <w:top w:w="15" w:type="dxa"/>
                    <w:left w:w="15" w:type="dxa"/>
                    <w:right w:w="15" w:type="dxa"/>
                  </w:tcMar>
                  <w:vAlign w:val="center"/>
                </w:tcPr>
                <w:p>
                  <w:pPr>
                    <w:tabs>
                      <w:tab w:val="left" w:pos="417"/>
                      <w:tab w:val="left" w:pos="3615"/>
                    </w:tabs>
                    <w:jc w:val="center"/>
                    <w:rPr>
                      <w:sz w:val="20"/>
                    </w:rPr>
                  </w:pPr>
                  <w:r>
                    <w:rPr>
                      <w:sz w:val="20"/>
                    </w:rPr>
                    <w:t>378</w:t>
                  </w:r>
                </w:p>
              </w:tc>
              <w:tc>
                <w:tcPr>
                  <w:tcW w:w="387" w:type="dxa"/>
                  <w:tcMar>
                    <w:top w:w="15" w:type="dxa"/>
                    <w:left w:w="15" w:type="dxa"/>
                    <w:right w:w="15" w:type="dxa"/>
                  </w:tcMar>
                  <w:vAlign w:val="center"/>
                </w:tcPr>
                <w:p>
                  <w:pPr>
                    <w:tabs>
                      <w:tab w:val="left" w:pos="417"/>
                      <w:tab w:val="left" w:pos="3615"/>
                    </w:tabs>
                    <w:jc w:val="center"/>
                    <w:rPr>
                      <w:sz w:val="20"/>
                    </w:rPr>
                  </w:pPr>
                  <w:r>
                    <w:rPr>
                      <w:sz w:val="20"/>
                    </w:rPr>
                    <w:t>126</w:t>
                  </w:r>
                </w:p>
              </w:tc>
              <w:tc>
                <w:tcPr>
                  <w:tcW w:w="538" w:type="dxa"/>
                  <w:tcMar>
                    <w:top w:w="15" w:type="dxa"/>
                    <w:left w:w="15" w:type="dxa"/>
                    <w:right w:w="15" w:type="dxa"/>
                  </w:tcMar>
                  <w:vAlign w:val="center"/>
                </w:tcPr>
                <w:p>
                  <w:pPr>
                    <w:tabs>
                      <w:tab w:val="left" w:pos="417"/>
                      <w:tab w:val="left" w:pos="3615"/>
                    </w:tabs>
                    <w:jc w:val="center"/>
                    <w:rPr>
                      <w:sz w:val="20"/>
                    </w:rPr>
                  </w:pPr>
                  <w:r>
                    <w:rPr>
                      <w:sz w:val="20"/>
                    </w:rPr>
                    <w:t>946</w:t>
                  </w:r>
                </w:p>
              </w:tc>
              <w:tc>
                <w:tcPr>
                  <w:tcW w:w="475" w:type="dxa"/>
                  <w:tcMar>
                    <w:top w:w="15" w:type="dxa"/>
                    <w:left w:w="15" w:type="dxa"/>
                    <w:right w:w="15" w:type="dxa"/>
                  </w:tcMar>
                  <w:vAlign w:val="center"/>
                </w:tcPr>
                <w:p>
                  <w:pPr>
                    <w:tabs>
                      <w:tab w:val="left" w:pos="417"/>
                      <w:tab w:val="left" w:pos="3615"/>
                    </w:tabs>
                    <w:jc w:val="center"/>
                    <w:rPr>
                      <w:sz w:val="20"/>
                    </w:rPr>
                  </w:pPr>
                  <w:r>
                    <w:rPr>
                      <w:sz w:val="20"/>
                    </w:rPr>
                    <w:t>315</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58</w:t>
                  </w:r>
                </w:p>
              </w:tc>
              <w:tc>
                <w:tcPr>
                  <w:tcW w:w="575" w:type="dxa"/>
                  <w:tcMar>
                    <w:top w:w="15" w:type="dxa"/>
                    <w:left w:w="15" w:type="dxa"/>
                    <w:right w:w="15" w:type="dxa"/>
                  </w:tcMar>
                  <w:vAlign w:val="center"/>
                </w:tcPr>
                <w:p>
                  <w:pPr>
                    <w:tabs>
                      <w:tab w:val="left" w:pos="417"/>
                      <w:tab w:val="left" w:pos="3615"/>
                    </w:tabs>
                    <w:jc w:val="center"/>
                    <w:rPr>
                      <w:sz w:val="20"/>
                    </w:rPr>
                  </w:pPr>
                  <w:r>
                    <w:rPr>
                      <w:sz w:val="20"/>
                    </w:rPr>
                    <w:t>26</w:t>
                  </w:r>
                </w:p>
              </w:tc>
              <w:tc>
                <w:tcPr>
                  <w:tcW w:w="492" w:type="dxa"/>
                  <w:tcMar>
                    <w:top w:w="15" w:type="dxa"/>
                    <w:left w:w="15" w:type="dxa"/>
                    <w:right w:w="15" w:type="dxa"/>
                  </w:tcMar>
                  <w:vAlign w:val="center"/>
                </w:tcPr>
                <w:p>
                  <w:pPr>
                    <w:tabs>
                      <w:tab w:val="left" w:pos="417"/>
                      <w:tab w:val="left" w:pos="3615"/>
                    </w:tabs>
                    <w:jc w:val="center"/>
                    <w:rPr>
                      <w:sz w:val="20"/>
                    </w:rPr>
                  </w:pPr>
                  <w:r>
                    <w:rPr>
                      <w:sz w:val="20"/>
                    </w:rPr>
                    <w:t>2918</w:t>
                  </w:r>
                </w:p>
              </w:tc>
              <w:tc>
                <w:tcPr>
                  <w:tcW w:w="474" w:type="dxa"/>
                  <w:tcMar>
                    <w:top w:w="15" w:type="dxa"/>
                    <w:left w:w="15" w:type="dxa"/>
                    <w:right w:w="15" w:type="dxa"/>
                  </w:tcMar>
                  <w:vAlign w:val="center"/>
                </w:tcPr>
                <w:p>
                  <w:pPr>
                    <w:tabs>
                      <w:tab w:val="left" w:pos="417"/>
                      <w:tab w:val="left" w:pos="3615"/>
                    </w:tabs>
                    <w:jc w:val="center"/>
                    <w:rPr>
                      <w:sz w:val="20"/>
                    </w:rPr>
                  </w:pPr>
                  <w:r>
                    <w:rPr>
                      <w:sz w:val="20"/>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牛街乡</w:t>
                  </w: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西坡</w:t>
                  </w:r>
                </w:p>
              </w:tc>
              <w:tc>
                <w:tcPr>
                  <w:tcW w:w="662" w:type="dxa"/>
                  <w:tcMar>
                    <w:top w:w="15" w:type="dxa"/>
                    <w:left w:w="15" w:type="dxa"/>
                    <w:right w:w="15" w:type="dxa"/>
                  </w:tcMar>
                  <w:vAlign w:val="center"/>
                </w:tcPr>
                <w:p>
                  <w:pPr>
                    <w:tabs>
                      <w:tab w:val="left" w:pos="417"/>
                      <w:tab w:val="left" w:pos="3615"/>
                    </w:tabs>
                    <w:jc w:val="center"/>
                    <w:rPr>
                      <w:sz w:val="20"/>
                    </w:rPr>
                  </w:pPr>
                  <w:r>
                    <w:rPr>
                      <w:sz w:val="20"/>
                    </w:rPr>
                    <w:t>鳌头</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100</w:t>
                  </w:r>
                </w:p>
              </w:tc>
              <w:tc>
                <w:tcPr>
                  <w:tcW w:w="413" w:type="dxa"/>
                  <w:tcMar>
                    <w:top w:w="15" w:type="dxa"/>
                    <w:left w:w="15" w:type="dxa"/>
                    <w:right w:w="15" w:type="dxa"/>
                  </w:tcMar>
                  <w:vAlign w:val="center"/>
                </w:tcPr>
                <w:p>
                  <w:pPr>
                    <w:tabs>
                      <w:tab w:val="left" w:pos="417"/>
                      <w:tab w:val="left" w:pos="3615"/>
                    </w:tabs>
                    <w:jc w:val="center"/>
                    <w:rPr>
                      <w:sz w:val="20"/>
                    </w:rPr>
                  </w:pPr>
                  <w:r>
                    <w:rPr>
                      <w:sz w:val="20"/>
                    </w:rPr>
                    <w:t>100</w:t>
                  </w:r>
                </w:p>
              </w:tc>
              <w:tc>
                <w:tcPr>
                  <w:tcW w:w="450" w:type="dxa"/>
                  <w:tcMar>
                    <w:top w:w="15" w:type="dxa"/>
                    <w:left w:w="15" w:type="dxa"/>
                    <w:right w:w="15" w:type="dxa"/>
                  </w:tcMar>
                  <w:vAlign w:val="center"/>
                </w:tcPr>
                <w:p>
                  <w:pPr>
                    <w:tabs>
                      <w:tab w:val="left" w:pos="417"/>
                      <w:tab w:val="left" w:pos="3615"/>
                    </w:tabs>
                    <w:jc w:val="center"/>
                    <w:rPr>
                      <w:sz w:val="20"/>
                    </w:rPr>
                  </w:pPr>
                  <w:r>
                    <w:rPr>
                      <w:sz w:val="20"/>
                    </w:rPr>
                    <w:t>241</w:t>
                  </w:r>
                </w:p>
              </w:tc>
              <w:tc>
                <w:tcPr>
                  <w:tcW w:w="387" w:type="dxa"/>
                  <w:tcMar>
                    <w:top w:w="15" w:type="dxa"/>
                    <w:left w:w="15" w:type="dxa"/>
                    <w:right w:w="15" w:type="dxa"/>
                  </w:tcMar>
                  <w:vAlign w:val="center"/>
                </w:tcPr>
                <w:p>
                  <w:pPr>
                    <w:tabs>
                      <w:tab w:val="left" w:pos="417"/>
                      <w:tab w:val="left" w:pos="3615"/>
                    </w:tabs>
                    <w:jc w:val="center"/>
                    <w:rPr>
                      <w:sz w:val="20"/>
                    </w:rPr>
                  </w:pPr>
                  <w:r>
                    <w:rPr>
                      <w:sz w:val="20"/>
                    </w:rPr>
                    <w:t>80</w:t>
                  </w:r>
                </w:p>
              </w:tc>
              <w:tc>
                <w:tcPr>
                  <w:tcW w:w="538" w:type="dxa"/>
                  <w:tcMar>
                    <w:top w:w="15" w:type="dxa"/>
                    <w:left w:w="15" w:type="dxa"/>
                    <w:right w:w="15" w:type="dxa"/>
                  </w:tcMar>
                  <w:vAlign w:val="center"/>
                </w:tcPr>
                <w:p>
                  <w:pPr>
                    <w:tabs>
                      <w:tab w:val="left" w:pos="417"/>
                      <w:tab w:val="left" w:pos="3615"/>
                    </w:tabs>
                    <w:jc w:val="center"/>
                    <w:rPr>
                      <w:sz w:val="20"/>
                    </w:rPr>
                  </w:pPr>
                  <w:r>
                    <w:rPr>
                      <w:sz w:val="20"/>
                    </w:rPr>
                    <w:t>602</w:t>
                  </w:r>
                </w:p>
              </w:tc>
              <w:tc>
                <w:tcPr>
                  <w:tcW w:w="475" w:type="dxa"/>
                  <w:tcMar>
                    <w:top w:w="15" w:type="dxa"/>
                    <w:left w:w="15" w:type="dxa"/>
                    <w:right w:w="15" w:type="dxa"/>
                  </w:tcMar>
                  <w:vAlign w:val="center"/>
                </w:tcPr>
                <w:p>
                  <w:pPr>
                    <w:tabs>
                      <w:tab w:val="left" w:pos="417"/>
                      <w:tab w:val="left" w:pos="3615"/>
                    </w:tabs>
                    <w:jc w:val="center"/>
                    <w:rPr>
                      <w:sz w:val="20"/>
                    </w:rPr>
                  </w:pPr>
                  <w:r>
                    <w:rPr>
                      <w:sz w:val="20"/>
                    </w:rPr>
                    <w:t>201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37</w:t>
                  </w:r>
                </w:p>
              </w:tc>
              <w:tc>
                <w:tcPr>
                  <w:tcW w:w="575" w:type="dxa"/>
                  <w:tcMar>
                    <w:top w:w="15" w:type="dxa"/>
                    <w:left w:w="15" w:type="dxa"/>
                    <w:right w:w="15" w:type="dxa"/>
                  </w:tcMar>
                  <w:vAlign w:val="center"/>
                </w:tcPr>
                <w:p>
                  <w:pPr>
                    <w:tabs>
                      <w:tab w:val="left" w:pos="417"/>
                      <w:tab w:val="left" w:pos="3615"/>
                    </w:tabs>
                    <w:jc w:val="center"/>
                    <w:rPr>
                      <w:sz w:val="20"/>
                    </w:rPr>
                  </w:pPr>
                  <w:r>
                    <w:rPr>
                      <w:sz w:val="20"/>
                    </w:rPr>
                    <w:t>16</w:t>
                  </w:r>
                </w:p>
              </w:tc>
              <w:tc>
                <w:tcPr>
                  <w:tcW w:w="492" w:type="dxa"/>
                  <w:tcMar>
                    <w:top w:w="15" w:type="dxa"/>
                    <w:left w:w="15" w:type="dxa"/>
                    <w:right w:w="15" w:type="dxa"/>
                  </w:tcMar>
                  <w:vAlign w:val="center"/>
                </w:tcPr>
                <w:p>
                  <w:pPr>
                    <w:tabs>
                      <w:tab w:val="left" w:pos="417"/>
                      <w:tab w:val="left" w:pos="3615"/>
                    </w:tabs>
                    <w:jc w:val="center"/>
                    <w:rPr>
                      <w:sz w:val="20"/>
                    </w:rPr>
                  </w:pPr>
                  <w:r>
                    <w:rPr>
                      <w:sz w:val="20"/>
                    </w:rPr>
                    <w:t>1855</w:t>
                  </w:r>
                </w:p>
              </w:tc>
              <w:tc>
                <w:tcPr>
                  <w:tcW w:w="474" w:type="dxa"/>
                  <w:tcMar>
                    <w:top w:w="15" w:type="dxa"/>
                    <w:left w:w="15" w:type="dxa"/>
                    <w:right w:w="15" w:type="dxa"/>
                  </w:tcMar>
                  <w:vAlign w:val="center"/>
                </w:tcPr>
                <w:p>
                  <w:pPr>
                    <w:tabs>
                      <w:tab w:val="left" w:pos="417"/>
                      <w:tab w:val="left" w:pos="3615"/>
                    </w:tabs>
                    <w:jc w:val="center"/>
                    <w:rPr>
                      <w:sz w:val="20"/>
                    </w:rPr>
                  </w:pPr>
                  <w:r>
                    <w:rPr>
                      <w:sz w:val="20"/>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文曲</w:t>
                  </w:r>
                </w:p>
              </w:tc>
              <w:tc>
                <w:tcPr>
                  <w:tcW w:w="425" w:type="dxa"/>
                  <w:tcMar>
                    <w:top w:w="15" w:type="dxa"/>
                    <w:left w:w="15" w:type="dxa"/>
                    <w:right w:w="15" w:type="dxa"/>
                  </w:tcMar>
                  <w:vAlign w:val="center"/>
                </w:tcPr>
                <w:p>
                  <w:pPr>
                    <w:tabs>
                      <w:tab w:val="left" w:pos="417"/>
                      <w:tab w:val="left" w:pos="3615"/>
                    </w:tabs>
                    <w:jc w:val="center"/>
                    <w:rPr>
                      <w:sz w:val="20"/>
                    </w:rPr>
                  </w:pPr>
                  <w:r>
                    <w:rPr>
                      <w:sz w:val="20"/>
                    </w:rPr>
                    <w:t>38</w:t>
                  </w:r>
                </w:p>
              </w:tc>
              <w:tc>
                <w:tcPr>
                  <w:tcW w:w="425" w:type="dxa"/>
                  <w:tcMar>
                    <w:top w:w="15" w:type="dxa"/>
                    <w:left w:w="15" w:type="dxa"/>
                    <w:right w:w="15" w:type="dxa"/>
                  </w:tcMar>
                  <w:vAlign w:val="center"/>
                </w:tcPr>
                <w:p>
                  <w:pPr>
                    <w:tabs>
                      <w:tab w:val="left" w:pos="417"/>
                      <w:tab w:val="left" w:pos="3615"/>
                    </w:tabs>
                    <w:jc w:val="center"/>
                    <w:rPr>
                      <w:sz w:val="20"/>
                    </w:rPr>
                  </w:pPr>
                  <w:r>
                    <w:rPr>
                      <w:sz w:val="20"/>
                    </w:rPr>
                    <w:t>38</w:t>
                  </w:r>
                </w:p>
              </w:tc>
              <w:tc>
                <w:tcPr>
                  <w:tcW w:w="425" w:type="dxa"/>
                  <w:tcMar>
                    <w:top w:w="15" w:type="dxa"/>
                    <w:left w:w="15" w:type="dxa"/>
                    <w:right w:w="15" w:type="dxa"/>
                  </w:tcMar>
                  <w:vAlign w:val="center"/>
                </w:tcPr>
                <w:p>
                  <w:pPr>
                    <w:tabs>
                      <w:tab w:val="left" w:pos="417"/>
                      <w:tab w:val="left" w:pos="3615"/>
                    </w:tabs>
                    <w:jc w:val="center"/>
                    <w:rPr>
                      <w:sz w:val="20"/>
                    </w:rPr>
                  </w:pPr>
                  <w:r>
                    <w:rPr>
                      <w:sz w:val="20"/>
                    </w:rPr>
                    <w:t>95</w:t>
                  </w:r>
                </w:p>
              </w:tc>
              <w:tc>
                <w:tcPr>
                  <w:tcW w:w="413" w:type="dxa"/>
                  <w:tcMar>
                    <w:top w:w="15" w:type="dxa"/>
                    <w:left w:w="15" w:type="dxa"/>
                    <w:right w:w="15" w:type="dxa"/>
                  </w:tcMar>
                  <w:vAlign w:val="center"/>
                </w:tcPr>
                <w:p>
                  <w:pPr>
                    <w:tabs>
                      <w:tab w:val="left" w:pos="417"/>
                      <w:tab w:val="left" w:pos="3615"/>
                    </w:tabs>
                    <w:jc w:val="center"/>
                    <w:rPr>
                      <w:sz w:val="20"/>
                    </w:rPr>
                  </w:pPr>
                  <w:r>
                    <w:rPr>
                      <w:sz w:val="20"/>
                    </w:rPr>
                    <w:t>95</w:t>
                  </w:r>
                </w:p>
              </w:tc>
              <w:tc>
                <w:tcPr>
                  <w:tcW w:w="450" w:type="dxa"/>
                  <w:tcMar>
                    <w:top w:w="15" w:type="dxa"/>
                    <w:left w:w="15" w:type="dxa"/>
                    <w:right w:w="15" w:type="dxa"/>
                  </w:tcMar>
                  <w:vAlign w:val="center"/>
                </w:tcPr>
                <w:p>
                  <w:pPr>
                    <w:tabs>
                      <w:tab w:val="left" w:pos="417"/>
                      <w:tab w:val="left" w:pos="3615"/>
                    </w:tabs>
                    <w:jc w:val="center"/>
                    <w:rPr>
                      <w:sz w:val="20"/>
                    </w:rPr>
                  </w:pPr>
                  <w:r>
                    <w:rPr>
                      <w:sz w:val="20"/>
                    </w:rPr>
                    <w:t>228</w:t>
                  </w:r>
                </w:p>
              </w:tc>
              <w:tc>
                <w:tcPr>
                  <w:tcW w:w="387" w:type="dxa"/>
                  <w:tcMar>
                    <w:top w:w="15" w:type="dxa"/>
                    <w:left w:w="15" w:type="dxa"/>
                    <w:right w:w="15" w:type="dxa"/>
                  </w:tcMar>
                  <w:vAlign w:val="center"/>
                </w:tcPr>
                <w:p>
                  <w:pPr>
                    <w:tabs>
                      <w:tab w:val="left" w:pos="417"/>
                      <w:tab w:val="left" w:pos="3615"/>
                    </w:tabs>
                    <w:jc w:val="center"/>
                    <w:rPr>
                      <w:sz w:val="20"/>
                    </w:rPr>
                  </w:pPr>
                  <w:r>
                    <w:rPr>
                      <w:sz w:val="20"/>
                    </w:rPr>
                    <w:t>76</w:t>
                  </w:r>
                </w:p>
              </w:tc>
              <w:tc>
                <w:tcPr>
                  <w:tcW w:w="538" w:type="dxa"/>
                  <w:tcMar>
                    <w:top w:w="15" w:type="dxa"/>
                    <w:left w:w="15" w:type="dxa"/>
                    <w:right w:w="15" w:type="dxa"/>
                  </w:tcMar>
                  <w:vAlign w:val="center"/>
                </w:tcPr>
                <w:p>
                  <w:pPr>
                    <w:tabs>
                      <w:tab w:val="left" w:pos="417"/>
                      <w:tab w:val="left" w:pos="3615"/>
                    </w:tabs>
                    <w:jc w:val="center"/>
                    <w:rPr>
                      <w:sz w:val="20"/>
                    </w:rPr>
                  </w:pPr>
                  <w:r>
                    <w:rPr>
                      <w:sz w:val="20"/>
                    </w:rPr>
                    <w:t>569</w:t>
                  </w:r>
                </w:p>
              </w:tc>
              <w:tc>
                <w:tcPr>
                  <w:tcW w:w="475" w:type="dxa"/>
                  <w:tcMar>
                    <w:top w:w="15" w:type="dxa"/>
                    <w:left w:w="15" w:type="dxa"/>
                    <w:right w:w="15" w:type="dxa"/>
                  </w:tcMar>
                  <w:vAlign w:val="center"/>
                </w:tcPr>
                <w:p>
                  <w:pPr>
                    <w:tabs>
                      <w:tab w:val="left" w:pos="417"/>
                      <w:tab w:val="left" w:pos="3615"/>
                    </w:tabs>
                    <w:jc w:val="center"/>
                    <w:rPr>
                      <w:sz w:val="20"/>
                    </w:rPr>
                  </w:pPr>
                  <w:r>
                    <w:rPr>
                      <w:sz w:val="20"/>
                    </w:rPr>
                    <w:t>190</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35</w:t>
                  </w:r>
                </w:p>
              </w:tc>
              <w:tc>
                <w:tcPr>
                  <w:tcW w:w="575" w:type="dxa"/>
                  <w:tcMar>
                    <w:top w:w="15" w:type="dxa"/>
                    <w:left w:w="15" w:type="dxa"/>
                    <w:right w:w="15" w:type="dxa"/>
                  </w:tcMar>
                  <w:vAlign w:val="center"/>
                </w:tcPr>
                <w:p>
                  <w:pPr>
                    <w:tabs>
                      <w:tab w:val="left" w:pos="417"/>
                      <w:tab w:val="left" w:pos="3615"/>
                    </w:tabs>
                    <w:jc w:val="center"/>
                    <w:rPr>
                      <w:sz w:val="20"/>
                    </w:rPr>
                  </w:pPr>
                  <w:r>
                    <w:rPr>
                      <w:sz w:val="20"/>
                    </w:rPr>
                    <w:t>15</w:t>
                  </w:r>
                </w:p>
              </w:tc>
              <w:tc>
                <w:tcPr>
                  <w:tcW w:w="492" w:type="dxa"/>
                  <w:tcMar>
                    <w:top w:w="15" w:type="dxa"/>
                    <w:left w:w="15" w:type="dxa"/>
                    <w:right w:w="15" w:type="dxa"/>
                  </w:tcMar>
                  <w:vAlign w:val="center"/>
                </w:tcPr>
                <w:p>
                  <w:pPr>
                    <w:tabs>
                      <w:tab w:val="left" w:pos="417"/>
                      <w:tab w:val="left" w:pos="3615"/>
                    </w:tabs>
                    <w:jc w:val="center"/>
                    <w:rPr>
                      <w:sz w:val="20"/>
                    </w:rPr>
                  </w:pPr>
                  <w:r>
                    <w:rPr>
                      <w:sz w:val="20"/>
                    </w:rPr>
                    <w:t>1754</w:t>
                  </w:r>
                </w:p>
              </w:tc>
              <w:tc>
                <w:tcPr>
                  <w:tcW w:w="474" w:type="dxa"/>
                  <w:tcMar>
                    <w:top w:w="15" w:type="dxa"/>
                    <w:left w:w="15" w:type="dxa"/>
                    <w:right w:w="15" w:type="dxa"/>
                  </w:tcMar>
                  <w:vAlign w:val="center"/>
                </w:tcPr>
                <w:p>
                  <w:pPr>
                    <w:tabs>
                      <w:tab w:val="left" w:pos="417"/>
                      <w:tab w:val="left" w:pos="3615"/>
                    </w:tabs>
                    <w:jc w:val="center"/>
                    <w:rPr>
                      <w:sz w:val="20"/>
                    </w:rPr>
                  </w:pPr>
                  <w:r>
                    <w:rPr>
                      <w:sz w:val="20"/>
                    </w:rPr>
                    <w:t>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西甸</w:t>
                  </w:r>
                </w:p>
              </w:tc>
              <w:tc>
                <w:tcPr>
                  <w:tcW w:w="662" w:type="dxa"/>
                  <w:tcMar>
                    <w:top w:w="15" w:type="dxa"/>
                    <w:left w:w="15" w:type="dxa"/>
                    <w:right w:w="15" w:type="dxa"/>
                  </w:tcMar>
                  <w:vAlign w:val="center"/>
                </w:tcPr>
                <w:p>
                  <w:pPr>
                    <w:tabs>
                      <w:tab w:val="left" w:pos="417"/>
                      <w:tab w:val="left" w:pos="3615"/>
                    </w:tabs>
                    <w:jc w:val="center"/>
                    <w:rPr>
                      <w:sz w:val="20"/>
                    </w:rPr>
                  </w:pPr>
                  <w:r>
                    <w:rPr>
                      <w:sz w:val="20"/>
                    </w:rPr>
                    <w:t>渔潭</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99</w:t>
                  </w:r>
                </w:p>
              </w:tc>
              <w:tc>
                <w:tcPr>
                  <w:tcW w:w="413" w:type="dxa"/>
                  <w:tcMar>
                    <w:top w:w="15" w:type="dxa"/>
                    <w:left w:w="15" w:type="dxa"/>
                    <w:right w:w="15" w:type="dxa"/>
                  </w:tcMar>
                  <w:vAlign w:val="center"/>
                </w:tcPr>
                <w:p>
                  <w:pPr>
                    <w:tabs>
                      <w:tab w:val="left" w:pos="417"/>
                      <w:tab w:val="left" w:pos="3615"/>
                    </w:tabs>
                    <w:jc w:val="center"/>
                    <w:rPr>
                      <w:sz w:val="20"/>
                    </w:rPr>
                  </w:pPr>
                  <w:r>
                    <w:rPr>
                      <w:sz w:val="20"/>
                    </w:rPr>
                    <w:t>99</w:t>
                  </w:r>
                </w:p>
              </w:tc>
              <w:tc>
                <w:tcPr>
                  <w:tcW w:w="450" w:type="dxa"/>
                  <w:tcMar>
                    <w:top w:w="15" w:type="dxa"/>
                    <w:left w:w="15" w:type="dxa"/>
                    <w:right w:w="15" w:type="dxa"/>
                  </w:tcMar>
                  <w:vAlign w:val="center"/>
                </w:tcPr>
                <w:p>
                  <w:pPr>
                    <w:tabs>
                      <w:tab w:val="left" w:pos="417"/>
                      <w:tab w:val="left" w:pos="3615"/>
                    </w:tabs>
                    <w:jc w:val="center"/>
                    <w:rPr>
                      <w:sz w:val="20"/>
                    </w:rPr>
                  </w:pPr>
                  <w:r>
                    <w:rPr>
                      <w:sz w:val="20"/>
                    </w:rPr>
                    <w:t>237</w:t>
                  </w:r>
                </w:p>
              </w:tc>
              <w:tc>
                <w:tcPr>
                  <w:tcW w:w="387" w:type="dxa"/>
                  <w:tcMar>
                    <w:top w:w="15" w:type="dxa"/>
                    <w:left w:w="15" w:type="dxa"/>
                    <w:right w:w="15" w:type="dxa"/>
                  </w:tcMar>
                  <w:vAlign w:val="center"/>
                </w:tcPr>
                <w:p>
                  <w:pPr>
                    <w:tabs>
                      <w:tab w:val="left" w:pos="417"/>
                      <w:tab w:val="left" w:pos="3615"/>
                    </w:tabs>
                    <w:jc w:val="center"/>
                    <w:rPr>
                      <w:sz w:val="20"/>
                    </w:rPr>
                  </w:pPr>
                  <w:r>
                    <w:rPr>
                      <w:sz w:val="20"/>
                    </w:rPr>
                    <w:t>79</w:t>
                  </w:r>
                </w:p>
              </w:tc>
              <w:tc>
                <w:tcPr>
                  <w:tcW w:w="538" w:type="dxa"/>
                  <w:tcMar>
                    <w:top w:w="15" w:type="dxa"/>
                    <w:left w:w="15" w:type="dxa"/>
                    <w:right w:w="15" w:type="dxa"/>
                  </w:tcMar>
                  <w:vAlign w:val="center"/>
                </w:tcPr>
                <w:p>
                  <w:pPr>
                    <w:tabs>
                      <w:tab w:val="left" w:pos="417"/>
                      <w:tab w:val="left" w:pos="3615"/>
                    </w:tabs>
                    <w:jc w:val="center"/>
                    <w:rPr>
                      <w:sz w:val="20"/>
                    </w:rPr>
                  </w:pPr>
                  <w:r>
                    <w:rPr>
                      <w:sz w:val="20"/>
                    </w:rPr>
                    <w:t>594</w:t>
                  </w:r>
                </w:p>
              </w:tc>
              <w:tc>
                <w:tcPr>
                  <w:tcW w:w="475" w:type="dxa"/>
                  <w:tcMar>
                    <w:top w:w="15" w:type="dxa"/>
                    <w:left w:w="15" w:type="dxa"/>
                    <w:right w:w="15" w:type="dxa"/>
                  </w:tcMar>
                  <w:vAlign w:val="center"/>
                </w:tcPr>
                <w:p>
                  <w:pPr>
                    <w:tabs>
                      <w:tab w:val="left" w:pos="417"/>
                      <w:tab w:val="left" w:pos="3615"/>
                    </w:tabs>
                    <w:jc w:val="center"/>
                    <w:rPr>
                      <w:sz w:val="20"/>
                    </w:rPr>
                  </w:pPr>
                  <w:r>
                    <w:rPr>
                      <w:sz w:val="20"/>
                    </w:rPr>
                    <w:t>198</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37</w:t>
                  </w:r>
                </w:p>
              </w:tc>
              <w:tc>
                <w:tcPr>
                  <w:tcW w:w="575" w:type="dxa"/>
                  <w:tcMar>
                    <w:top w:w="15" w:type="dxa"/>
                    <w:left w:w="15" w:type="dxa"/>
                    <w:right w:w="15" w:type="dxa"/>
                  </w:tcMar>
                  <w:vAlign w:val="center"/>
                </w:tcPr>
                <w:p>
                  <w:pPr>
                    <w:tabs>
                      <w:tab w:val="left" w:pos="417"/>
                      <w:tab w:val="left" w:pos="3615"/>
                    </w:tabs>
                    <w:jc w:val="center"/>
                    <w:rPr>
                      <w:sz w:val="20"/>
                    </w:rPr>
                  </w:pPr>
                  <w:r>
                    <w:rPr>
                      <w:sz w:val="20"/>
                    </w:rPr>
                    <w:t>16</w:t>
                  </w:r>
                </w:p>
              </w:tc>
              <w:tc>
                <w:tcPr>
                  <w:tcW w:w="492" w:type="dxa"/>
                  <w:tcMar>
                    <w:top w:w="15" w:type="dxa"/>
                    <w:left w:w="15" w:type="dxa"/>
                    <w:right w:w="15" w:type="dxa"/>
                  </w:tcMar>
                  <w:vAlign w:val="center"/>
                </w:tcPr>
                <w:p>
                  <w:pPr>
                    <w:tabs>
                      <w:tab w:val="left" w:pos="417"/>
                      <w:tab w:val="left" w:pos="3615"/>
                    </w:tabs>
                    <w:jc w:val="center"/>
                    <w:rPr>
                      <w:sz w:val="20"/>
                    </w:rPr>
                  </w:pPr>
                  <w:r>
                    <w:rPr>
                      <w:sz w:val="20"/>
                    </w:rPr>
                    <w:t>1830</w:t>
                  </w:r>
                </w:p>
              </w:tc>
              <w:tc>
                <w:tcPr>
                  <w:tcW w:w="474" w:type="dxa"/>
                  <w:tcMar>
                    <w:top w:w="15" w:type="dxa"/>
                    <w:left w:w="15" w:type="dxa"/>
                    <w:right w:w="15" w:type="dxa"/>
                  </w:tcMar>
                  <w:vAlign w:val="center"/>
                </w:tcPr>
                <w:p>
                  <w:pPr>
                    <w:tabs>
                      <w:tab w:val="left" w:pos="417"/>
                      <w:tab w:val="left" w:pos="3615"/>
                    </w:tabs>
                    <w:jc w:val="center"/>
                    <w:rPr>
                      <w:sz w:val="20"/>
                    </w:rPr>
                  </w:pPr>
                  <w:r>
                    <w:rPr>
                      <w:sz w:val="20"/>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太平</w:t>
                  </w:r>
                </w:p>
              </w:tc>
              <w:tc>
                <w:tcPr>
                  <w:tcW w:w="662" w:type="dxa"/>
                  <w:tcMar>
                    <w:top w:w="15" w:type="dxa"/>
                    <w:left w:w="15" w:type="dxa"/>
                    <w:right w:w="15" w:type="dxa"/>
                  </w:tcMar>
                  <w:vAlign w:val="center"/>
                </w:tcPr>
                <w:p>
                  <w:pPr>
                    <w:tabs>
                      <w:tab w:val="left" w:pos="417"/>
                      <w:tab w:val="left" w:pos="3615"/>
                    </w:tabs>
                    <w:jc w:val="center"/>
                    <w:rPr>
                      <w:sz w:val="20"/>
                    </w:rPr>
                  </w:pPr>
                  <w:r>
                    <w:rPr>
                      <w:sz w:val="20"/>
                    </w:rPr>
                    <w:t>白玉</w:t>
                  </w:r>
                </w:p>
              </w:tc>
              <w:tc>
                <w:tcPr>
                  <w:tcW w:w="425" w:type="dxa"/>
                  <w:tcMar>
                    <w:top w:w="15" w:type="dxa"/>
                    <w:left w:w="15" w:type="dxa"/>
                    <w:right w:w="15" w:type="dxa"/>
                  </w:tcMar>
                  <w:vAlign w:val="center"/>
                </w:tcPr>
                <w:p>
                  <w:pPr>
                    <w:tabs>
                      <w:tab w:val="left" w:pos="417"/>
                      <w:tab w:val="left" w:pos="3615"/>
                    </w:tabs>
                    <w:jc w:val="center"/>
                    <w:rPr>
                      <w:sz w:val="20"/>
                    </w:rPr>
                  </w:pPr>
                  <w:r>
                    <w:rPr>
                      <w:sz w:val="20"/>
                    </w:rPr>
                    <w:t>41</w:t>
                  </w:r>
                </w:p>
              </w:tc>
              <w:tc>
                <w:tcPr>
                  <w:tcW w:w="425" w:type="dxa"/>
                  <w:tcMar>
                    <w:top w:w="15" w:type="dxa"/>
                    <w:left w:w="15" w:type="dxa"/>
                    <w:right w:w="15" w:type="dxa"/>
                  </w:tcMar>
                  <w:vAlign w:val="center"/>
                </w:tcPr>
                <w:p>
                  <w:pPr>
                    <w:tabs>
                      <w:tab w:val="left" w:pos="417"/>
                      <w:tab w:val="left" w:pos="3615"/>
                    </w:tabs>
                    <w:jc w:val="center"/>
                    <w:rPr>
                      <w:sz w:val="20"/>
                    </w:rPr>
                  </w:pPr>
                  <w:r>
                    <w:rPr>
                      <w:sz w:val="20"/>
                    </w:rPr>
                    <w:t>41</w:t>
                  </w:r>
                </w:p>
              </w:tc>
              <w:tc>
                <w:tcPr>
                  <w:tcW w:w="425" w:type="dxa"/>
                  <w:tcMar>
                    <w:top w:w="15" w:type="dxa"/>
                    <w:left w:w="15" w:type="dxa"/>
                    <w:right w:w="15" w:type="dxa"/>
                  </w:tcMar>
                  <w:vAlign w:val="center"/>
                </w:tcPr>
                <w:p>
                  <w:pPr>
                    <w:tabs>
                      <w:tab w:val="left" w:pos="417"/>
                      <w:tab w:val="left" w:pos="3615"/>
                    </w:tabs>
                    <w:jc w:val="center"/>
                    <w:rPr>
                      <w:sz w:val="20"/>
                    </w:rPr>
                  </w:pPr>
                  <w:r>
                    <w:rPr>
                      <w:sz w:val="20"/>
                    </w:rPr>
                    <w:t>103</w:t>
                  </w:r>
                </w:p>
              </w:tc>
              <w:tc>
                <w:tcPr>
                  <w:tcW w:w="413" w:type="dxa"/>
                  <w:tcMar>
                    <w:top w:w="15" w:type="dxa"/>
                    <w:left w:w="15" w:type="dxa"/>
                    <w:right w:w="15" w:type="dxa"/>
                  </w:tcMar>
                  <w:vAlign w:val="center"/>
                </w:tcPr>
                <w:p>
                  <w:pPr>
                    <w:tabs>
                      <w:tab w:val="left" w:pos="417"/>
                      <w:tab w:val="left" w:pos="3615"/>
                    </w:tabs>
                    <w:jc w:val="center"/>
                    <w:rPr>
                      <w:sz w:val="20"/>
                    </w:rPr>
                  </w:pPr>
                  <w:r>
                    <w:rPr>
                      <w:sz w:val="20"/>
                    </w:rPr>
                    <w:t>103</w:t>
                  </w:r>
                </w:p>
              </w:tc>
              <w:tc>
                <w:tcPr>
                  <w:tcW w:w="450" w:type="dxa"/>
                  <w:tcMar>
                    <w:top w:w="15" w:type="dxa"/>
                    <w:left w:w="15" w:type="dxa"/>
                    <w:right w:w="15" w:type="dxa"/>
                  </w:tcMar>
                  <w:vAlign w:val="center"/>
                </w:tcPr>
                <w:p>
                  <w:pPr>
                    <w:tabs>
                      <w:tab w:val="left" w:pos="417"/>
                      <w:tab w:val="left" w:pos="3615"/>
                    </w:tabs>
                    <w:jc w:val="center"/>
                    <w:rPr>
                      <w:sz w:val="20"/>
                    </w:rPr>
                  </w:pPr>
                  <w:r>
                    <w:rPr>
                      <w:sz w:val="20"/>
                    </w:rPr>
                    <w:t>247</w:t>
                  </w:r>
                </w:p>
              </w:tc>
              <w:tc>
                <w:tcPr>
                  <w:tcW w:w="387" w:type="dxa"/>
                  <w:tcMar>
                    <w:top w:w="15" w:type="dxa"/>
                    <w:left w:w="15" w:type="dxa"/>
                    <w:right w:w="15" w:type="dxa"/>
                  </w:tcMar>
                  <w:vAlign w:val="center"/>
                </w:tcPr>
                <w:p>
                  <w:pPr>
                    <w:tabs>
                      <w:tab w:val="left" w:pos="417"/>
                      <w:tab w:val="left" w:pos="3615"/>
                    </w:tabs>
                    <w:jc w:val="center"/>
                    <w:rPr>
                      <w:sz w:val="20"/>
                    </w:rPr>
                  </w:pPr>
                  <w:r>
                    <w:rPr>
                      <w:sz w:val="20"/>
                    </w:rPr>
                    <w:t>82</w:t>
                  </w:r>
                </w:p>
              </w:tc>
              <w:tc>
                <w:tcPr>
                  <w:tcW w:w="538" w:type="dxa"/>
                  <w:tcMar>
                    <w:top w:w="15" w:type="dxa"/>
                    <w:left w:w="15" w:type="dxa"/>
                    <w:right w:w="15" w:type="dxa"/>
                  </w:tcMar>
                  <w:vAlign w:val="center"/>
                </w:tcPr>
                <w:p>
                  <w:pPr>
                    <w:tabs>
                      <w:tab w:val="left" w:pos="417"/>
                      <w:tab w:val="left" w:pos="3615"/>
                    </w:tabs>
                    <w:jc w:val="center"/>
                    <w:rPr>
                      <w:sz w:val="20"/>
                    </w:rPr>
                  </w:pPr>
                  <w:r>
                    <w:rPr>
                      <w:sz w:val="20"/>
                    </w:rPr>
                    <w:t>616</w:t>
                  </w:r>
                </w:p>
              </w:tc>
              <w:tc>
                <w:tcPr>
                  <w:tcW w:w="475" w:type="dxa"/>
                  <w:tcMar>
                    <w:top w:w="15" w:type="dxa"/>
                    <w:left w:w="15" w:type="dxa"/>
                    <w:right w:w="15" w:type="dxa"/>
                  </w:tcMar>
                  <w:vAlign w:val="center"/>
                </w:tcPr>
                <w:p>
                  <w:pPr>
                    <w:tabs>
                      <w:tab w:val="left" w:pos="417"/>
                      <w:tab w:val="left" w:pos="3615"/>
                    </w:tabs>
                    <w:jc w:val="center"/>
                    <w:rPr>
                      <w:sz w:val="20"/>
                    </w:rPr>
                  </w:pPr>
                  <w:r>
                    <w:rPr>
                      <w:sz w:val="20"/>
                    </w:rPr>
                    <w:t>205</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10</w:t>
                  </w:r>
                </w:p>
              </w:tc>
              <w:tc>
                <w:tcPr>
                  <w:tcW w:w="475" w:type="dxa"/>
                  <w:tcMar>
                    <w:top w:w="15" w:type="dxa"/>
                    <w:left w:w="15" w:type="dxa"/>
                    <w:right w:w="15" w:type="dxa"/>
                  </w:tcMar>
                  <w:vAlign w:val="center"/>
                </w:tcPr>
                <w:p>
                  <w:pPr>
                    <w:tabs>
                      <w:tab w:val="left" w:pos="417"/>
                      <w:tab w:val="left" w:pos="3615"/>
                    </w:tabs>
                    <w:jc w:val="center"/>
                    <w:rPr>
                      <w:sz w:val="20"/>
                    </w:rPr>
                  </w:pPr>
                  <w:r>
                    <w:rPr>
                      <w:sz w:val="20"/>
                    </w:rPr>
                    <w:t>38</w:t>
                  </w:r>
                </w:p>
              </w:tc>
              <w:tc>
                <w:tcPr>
                  <w:tcW w:w="575" w:type="dxa"/>
                  <w:tcMar>
                    <w:top w:w="15" w:type="dxa"/>
                    <w:left w:w="15" w:type="dxa"/>
                    <w:right w:w="15" w:type="dxa"/>
                  </w:tcMar>
                  <w:vAlign w:val="center"/>
                </w:tcPr>
                <w:p>
                  <w:pPr>
                    <w:tabs>
                      <w:tab w:val="left" w:pos="417"/>
                      <w:tab w:val="left" w:pos="3615"/>
                    </w:tabs>
                    <w:jc w:val="center"/>
                    <w:rPr>
                      <w:sz w:val="20"/>
                    </w:rPr>
                  </w:pPr>
                  <w:r>
                    <w:rPr>
                      <w:sz w:val="20"/>
                    </w:rPr>
                    <w:t>17</w:t>
                  </w:r>
                </w:p>
              </w:tc>
              <w:tc>
                <w:tcPr>
                  <w:tcW w:w="492" w:type="dxa"/>
                  <w:tcMar>
                    <w:top w:w="15" w:type="dxa"/>
                    <w:left w:w="15" w:type="dxa"/>
                    <w:right w:w="15" w:type="dxa"/>
                  </w:tcMar>
                  <w:vAlign w:val="center"/>
                </w:tcPr>
                <w:p>
                  <w:pPr>
                    <w:tabs>
                      <w:tab w:val="left" w:pos="417"/>
                      <w:tab w:val="left" w:pos="3615"/>
                    </w:tabs>
                    <w:jc w:val="center"/>
                    <w:rPr>
                      <w:sz w:val="20"/>
                    </w:rPr>
                  </w:pPr>
                  <w:r>
                    <w:rPr>
                      <w:sz w:val="20"/>
                    </w:rPr>
                    <w:t>1901</w:t>
                  </w:r>
                </w:p>
              </w:tc>
              <w:tc>
                <w:tcPr>
                  <w:tcW w:w="474" w:type="dxa"/>
                  <w:tcMar>
                    <w:top w:w="15" w:type="dxa"/>
                    <w:left w:w="15" w:type="dxa"/>
                    <w:right w:w="15" w:type="dxa"/>
                  </w:tcMar>
                  <w:vAlign w:val="center"/>
                </w:tcPr>
                <w:p>
                  <w:pPr>
                    <w:tabs>
                      <w:tab w:val="left" w:pos="417"/>
                      <w:tab w:val="left" w:pos="3615"/>
                    </w:tabs>
                    <w:jc w:val="center"/>
                    <w:rPr>
                      <w:sz w:val="20"/>
                    </w:rPr>
                  </w:pPr>
                  <w:r>
                    <w:rPr>
                      <w:sz w:val="20"/>
                    </w:rPr>
                    <w:t>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龙门</w:t>
                  </w:r>
                </w:p>
              </w:tc>
              <w:tc>
                <w:tcPr>
                  <w:tcW w:w="662" w:type="dxa"/>
                  <w:tcMar>
                    <w:top w:w="15" w:type="dxa"/>
                    <w:left w:w="15" w:type="dxa"/>
                    <w:right w:w="15" w:type="dxa"/>
                  </w:tcMar>
                  <w:vAlign w:val="center"/>
                </w:tcPr>
                <w:p>
                  <w:pPr>
                    <w:tabs>
                      <w:tab w:val="left" w:pos="417"/>
                      <w:tab w:val="left" w:pos="3615"/>
                    </w:tabs>
                    <w:jc w:val="center"/>
                    <w:rPr>
                      <w:sz w:val="20"/>
                    </w:rPr>
                  </w:pPr>
                  <w:r>
                    <w:rPr>
                      <w:sz w:val="20"/>
                    </w:rPr>
                    <w:t>下协和</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80</w:t>
                  </w:r>
                </w:p>
              </w:tc>
              <w:tc>
                <w:tcPr>
                  <w:tcW w:w="413" w:type="dxa"/>
                  <w:tcMar>
                    <w:top w:w="15" w:type="dxa"/>
                    <w:left w:w="15" w:type="dxa"/>
                    <w:right w:w="15" w:type="dxa"/>
                  </w:tcMar>
                  <w:vAlign w:val="center"/>
                </w:tcPr>
                <w:p>
                  <w:pPr>
                    <w:tabs>
                      <w:tab w:val="left" w:pos="417"/>
                      <w:tab w:val="left" w:pos="3615"/>
                    </w:tabs>
                    <w:jc w:val="center"/>
                    <w:rPr>
                      <w:sz w:val="20"/>
                    </w:rPr>
                  </w:pPr>
                  <w:r>
                    <w:rPr>
                      <w:sz w:val="20"/>
                    </w:rPr>
                    <w:t>80</w:t>
                  </w:r>
                </w:p>
              </w:tc>
              <w:tc>
                <w:tcPr>
                  <w:tcW w:w="450" w:type="dxa"/>
                  <w:tcMar>
                    <w:top w:w="15" w:type="dxa"/>
                    <w:left w:w="15" w:type="dxa"/>
                    <w:right w:w="15" w:type="dxa"/>
                  </w:tcMar>
                  <w:vAlign w:val="center"/>
                </w:tcPr>
                <w:p>
                  <w:pPr>
                    <w:tabs>
                      <w:tab w:val="left" w:pos="417"/>
                      <w:tab w:val="left" w:pos="3615"/>
                    </w:tabs>
                    <w:jc w:val="center"/>
                    <w:rPr>
                      <w:sz w:val="20"/>
                    </w:rPr>
                  </w:pPr>
                  <w:r>
                    <w:rPr>
                      <w:sz w:val="20"/>
                    </w:rPr>
                    <w:t>193</w:t>
                  </w:r>
                </w:p>
              </w:tc>
              <w:tc>
                <w:tcPr>
                  <w:tcW w:w="387" w:type="dxa"/>
                  <w:tcMar>
                    <w:top w:w="15" w:type="dxa"/>
                    <w:left w:w="15" w:type="dxa"/>
                    <w:right w:w="15" w:type="dxa"/>
                  </w:tcMar>
                  <w:vAlign w:val="center"/>
                </w:tcPr>
                <w:p>
                  <w:pPr>
                    <w:tabs>
                      <w:tab w:val="left" w:pos="417"/>
                      <w:tab w:val="left" w:pos="3615"/>
                    </w:tabs>
                    <w:jc w:val="center"/>
                    <w:rPr>
                      <w:sz w:val="20"/>
                    </w:rPr>
                  </w:pPr>
                  <w:r>
                    <w:rPr>
                      <w:sz w:val="20"/>
                    </w:rPr>
                    <w:t>64</w:t>
                  </w:r>
                </w:p>
              </w:tc>
              <w:tc>
                <w:tcPr>
                  <w:tcW w:w="538" w:type="dxa"/>
                  <w:tcMar>
                    <w:top w:w="15" w:type="dxa"/>
                    <w:left w:w="15" w:type="dxa"/>
                    <w:right w:w="15" w:type="dxa"/>
                  </w:tcMar>
                  <w:vAlign w:val="center"/>
                </w:tcPr>
                <w:p>
                  <w:pPr>
                    <w:tabs>
                      <w:tab w:val="left" w:pos="417"/>
                      <w:tab w:val="left" w:pos="3615"/>
                    </w:tabs>
                    <w:jc w:val="center"/>
                    <w:rPr>
                      <w:sz w:val="20"/>
                    </w:rPr>
                  </w:pPr>
                  <w:r>
                    <w:rPr>
                      <w:sz w:val="20"/>
                    </w:rPr>
                    <w:t>482</w:t>
                  </w:r>
                </w:p>
              </w:tc>
              <w:tc>
                <w:tcPr>
                  <w:tcW w:w="475" w:type="dxa"/>
                  <w:tcMar>
                    <w:top w:w="15" w:type="dxa"/>
                    <w:left w:w="15" w:type="dxa"/>
                    <w:right w:w="15" w:type="dxa"/>
                  </w:tcMar>
                  <w:vAlign w:val="center"/>
                </w:tcPr>
                <w:p>
                  <w:pPr>
                    <w:tabs>
                      <w:tab w:val="left" w:pos="417"/>
                      <w:tab w:val="left" w:pos="3615"/>
                    </w:tabs>
                    <w:jc w:val="center"/>
                    <w:rPr>
                      <w:sz w:val="20"/>
                    </w:rPr>
                  </w:pPr>
                  <w:r>
                    <w:rPr>
                      <w:sz w:val="20"/>
                    </w:rPr>
                    <w:t>161</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6</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7</w:t>
                  </w:r>
                </w:p>
              </w:tc>
              <w:tc>
                <w:tcPr>
                  <w:tcW w:w="475" w:type="dxa"/>
                  <w:tcMar>
                    <w:top w:w="15" w:type="dxa"/>
                    <w:left w:w="15" w:type="dxa"/>
                    <w:right w:w="15" w:type="dxa"/>
                  </w:tcMar>
                  <w:vAlign w:val="center"/>
                </w:tcPr>
                <w:p>
                  <w:pPr>
                    <w:tabs>
                      <w:tab w:val="left" w:pos="417"/>
                      <w:tab w:val="left" w:pos="3615"/>
                    </w:tabs>
                    <w:jc w:val="center"/>
                    <w:rPr>
                      <w:sz w:val="20"/>
                    </w:rPr>
                  </w:pPr>
                  <w:r>
                    <w:rPr>
                      <w:sz w:val="20"/>
                    </w:rPr>
                    <w:t>30</w:t>
                  </w:r>
                </w:p>
              </w:tc>
              <w:tc>
                <w:tcPr>
                  <w:tcW w:w="575" w:type="dxa"/>
                  <w:tcMar>
                    <w:top w:w="15" w:type="dxa"/>
                    <w:left w:w="15" w:type="dxa"/>
                    <w:right w:w="15" w:type="dxa"/>
                  </w:tcMar>
                  <w:vAlign w:val="center"/>
                </w:tcPr>
                <w:p>
                  <w:pPr>
                    <w:tabs>
                      <w:tab w:val="left" w:pos="417"/>
                      <w:tab w:val="left" w:pos="3615"/>
                    </w:tabs>
                    <w:jc w:val="center"/>
                    <w:rPr>
                      <w:sz w:val="20"/>
                    </w:rPr>
                  </w:pPr>
                  <w:r>
                    <w:rPr>
                      <w:sz w:val="20"/>
                    </w:rPr>
                    <w:t>13</w:t>
                  </w:r>
                </w:p>
              </w:tc>
              <w:tc>
                <w:tcPr>
                  <w:tcW w:w="492" w:type="dxa"/>
                  <w:tcMar>
                    <w:top w:w="15" w:type="dxa"/>
                    <w:left w:w="15" w:type="dxa"/>
                    <w:right w:w="15" w:type="dxa"/>
                  </w:tcMar>
                  <w:vAlign w:val="center"/>
                </w:tcPr>
                <w:p>
                  <w:pPr>
                    <w:tabs>
                      <w:tab w:val="left" w:pos="417"/>
                      <w:tab w:val="left" w:pos="3615"/>
                    </w:tabs>
                    <w:jc w:val="center"/>
                    <w:rPr>
                      <w:sz w:val="20"/>
                    </w:rPr>
                  </w:pPr>
                  <w:r>
                    <w:rPr>
                      <w:sz w:val="20"/>
                    </w:rPr>
                    <w:t>1487</w:t>
                  </w:r>
                </w:p>
              </w:tc>
              <w:tc>
                <w:tcPr>
                  <w:tcW w:w="474" w:type="dxa"/>
                  <w:tcMar>
                    <w:top w:w="15" w:type="dxa"/>
                    <w:left w:w="15" w:type="dxa"/>
                    <w:right w:w="15" w:type="dxa"/>
                  </w:tcMar>
                  <w:vAlign w:val="center"/>
                </w:tcPr>
                <w:p>
                  <w:pPr>
                    <w:tabs>
                      <w:tab w:val="left" w:pos="417"/>
                      <w:tab w:val="left" w:pos="3615"/>
                    </w:tabs>
                    <w:jc w:val="center"/>
                    <w:rPr>
                      <w:sz w:val="20"/>
                    </w:rPr>
                  </w:pPr>
                  <w:r>
                    <w:rPr>
                      <w:sz w:val="20"/>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上协和</w:t>
                  </w:r>
                </w:p>
              </w:tc>
              <w:tc>
                <w:tcPr>
                  <w:tcW w:w="425" w:type="dxa"/>
                  <w:tcMar>
                    <w:top w:w="15" w:type="dxa"/>
                    <w:left w:w="15" w:type="dxa"/>
                    <w:right w:w="15" w:type="dxa"/>
                  </w:tcMar>
                  <w:vAlign w:val="center"/>
                </w:tcPr>
                <w:p>
                  <w:pPr>
                    <w:tabs>
                      <w:tab w:val="left" w:pos="417"/>
                      <w:tab w:val="left" w:pos="3615"/>
                    </w:tabs>
                    <w:jc w:val="center"/>
                    <w:rPr>
                      <w:sz w:val="20"/>
                    </w:rPr>
                  </w:pPr>
                  <w:r>
                    <w:rPr>
                      <w:sz w:val="20"/>
                    </w:rPr>
                    <w:t>33</w:t>
                  </w:r>
                </w:p>
              </w:tc>
              <w:tc>
                <w:tcPr>
                  <w:tcW w:w="425" w:type="dxa"/>
                  <w:tcMar>
                    <w:top w:w="15" w:type="dxa"/>
                    <w:left w:w="15" w:type="dxa"/>
                    <w:right w:w="15" w:type="dxa"/>
                  </w:tcMar>
                  <w:vAlign w:val="center"/>
                </w:tcPr>
                <w:p>
                  <w:pPr>
                    <w:tabs>
                      <w:tab w:val="left" w:pos="417"/>
                      <w:tab w:val="left" w:pos="3615"/>
                    </w:tabs>
                    <w:jc w:val="center"/>
                    <w:rPr>
                      <w:sz w:val="20"/>
                    </w:rPr>
                  </w:pPr>
                  <w:r>
                    <w:rPr>
                      <w:sz w:val="20"/>
                    </w:rPr>
                    <w:t>33</w:t>
                  </w:r>
                </w:p>
              </w:tc>
              <w:tc>
                <w:tcPr>
                  <w:tcW w:w="425" w:type="dxa"/>
                  <w:tcMar>
                    <w:top w:w="15" w:type="dxa"/>
                    <w:left w:w="15" w:type="dxa"/>
                    <w:right w:w="15" w:type="dxa"/>
                  </w:tcMar>
                  <w:vAlign w:val="center"/>
                </w:tcPr>
                <w:p>
                  <w:pPr>
                    <w:tabs>
                      <w:tab w:val="left" w:pos="417"/>
                      <w:tab w:val="left" w:pos="3615"/>
                    </w:tabs>
                    <w:jc w:val="center"/>
                    <w:rPr>
                      <w:sz w:val="20"/>
                    </w:rPr>
                  </w:pPr>
                  <w:r>
                    <w:rPr>
                      <w:sz w:val="20"/>
                    </w:rPr>
                    <w:t>82</w:t>
                  </w:r>
                </w:p>
              </w:tc>
              <w:tc>
                <w:tcPr>
                  <w:tcW w:w="413" w:type="dxa"/>
                  <w:tcMar>
                    <w:top w:w="15" w:type="dxa"/>
                    <w:left w:w="15" w:type="dxa"/>
                    <w:right w:w="15" w:type="dxa"/>
                  </w:tcMar>
                  <w:vAlign w:val="center"/>
                </w:tcPr>
                <w:p>
                  <w:pPr>
                    <w:tabs>
                      <w:tab w:val="left" w:pos="417"/>
                      <w:tab w:val="left" w:pos="3615"/>
                    </w:tabs>
                    <w:jc w:val="center"/>
                    <w:rPr>
                      <w:sz w:val="20"/>
                    </w:rPr>
                  </w:pPr>
                  <w:r>
                    <w:rPr>
                      <w:sz w:val="20"/>
                    </w:rPr>
                    <w:t>82</w:t>
                  </w:r>
                </w:p>
              </w:tc>
              <w:tc>
                <w:tcPr>
                  <w:tcW w:w="450" w:type="dxa"/>
                  <w:tcMar>
                    <w:top w:w="15" w:type="dxa"/>
                    <w:left w:w="15" w:type="dxa"/>
                    <w:right w:w="15" w:type="dxa"/>
                  </w:tcMar>
                  <w:vAlign w:val="center"/>
                </w:tcPr>
                <w:p>
                  <w:pPr>
                    <w:tabs>
                      <w:tab w:val="left" w:pos="417"/>
                      <w:tab w:val="left" w:pos="3615"/>
                    </w:tabs>
                    <w:jc w:val="center"/>
                    <w:rPr>
                      <w:sz w:val="20"/>
                    </w:rPr>
                  </w:pPr>
                  <w:r>
                    <w:rPr>
                      <w:sz w:val="20"/>
                    </w:rPr>
                    <w:t>196</w:t>
                  </w:r>
                </w:p>
              </w:tc>
              <w:tc>
                <w:tcPr>
                  <w:tcW w:w="387" w:type="dxa"/>
                  <w:tcMar>
                    <w:top w:w="15" w:type="dxa"/>
                    <w:left w:w="15" w:type="dxa"/>
                    <w:right w:w="15" w:type="dxa"/>
                  </w:tcMar>
                  <w:vAlign w:val="center"/>
                </w:tcPr>
                <w:p>
                  <w:pPr>
                    <w:tabs>
                      <w:tab w:val="left" w:pos="417"/>
                      <w:tab w:val="left" w:pos="3615"/>
                    </w:tabs>
                    <w:jc w:val="center"/>
                    <w:rPr>
                      <w:sz w:val="20"/>
                    </w:rPr>
                  </w:pPr>
                  <w:r>
                    <w:rPr>
                      <w:sz w:val="20"/>
                    </w:rPr>
                    <w:t>65</w:t>
                  </w:r>
                </w:p>
              </w:tc>
              <w:tc>
                <w:tcPr>
                  <w:tcW w:w="538" w:type="dxa"/>
                  <w:tcMar>
                    <w:top w:w="15" w:type="dxa"/>
                    <w:left w:w="15" w:type="dxa"/>
                    <w:right w:w="15" w:type="dxa"/>
                  </w:tcMar>
                  <w:vAlign w:val="center"/>
                </w:tcPr>
                <w:p>
                  <w:pPr>
                    <w:tabs>
                      <w:tab w:val="left" w:pos="417"/>
                      <w:tab w:val="left" w:pos="3615"/>
                    </w:tabs>
                    <w:jc w:val="center"/>
                    <w:rPr>
                      <w:sz w:val="20"/>
                    </w:rPr>
                  </w:pPr>
                  <w:r>
                    <w:rPr>
                      <w:sz w:val="20"/>
                    </w:rPr>
                    <w:t>490</w:t>
                  </w:r>
                </w:p>
              </w:tc>
              <w:tc>
                <w:tcPr>
                  <w:tcW w:w="475" w:type="dxa"/>
                  <w:tcMar>
                    <w:top w:w="15" w:type="dxa"/>
                    <w:left w:w="15" w:type="dxa"/>
                    <w:right w:w="15" w:type="dxa"/>
                  </w:tcMar>
                  <w:vAlign w:val="center"/>
                </w:tcPr>
                <w:p>
                  <w:pPr>
                    <w:tabs>
                      <w:tab w:val="left" w:pos="417"/>
                      <w:tab w:val="left" w:pos="3615"/>
                    </w:tabs>
                    <w:jc w:val="center"/>
                    <w:rPr>
                      <w:sz w:val="20"/>
                    </w:rPr>
                  </w:pPr>
                  <w:r>
                    <w:rPr>
                      <w:sz w:val="20"/>
                    </w:rPr>
                    <w:t>163</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30</w:t>
                  </w:r>
                </w:p>
              </w:tc>
              <w:tc>
                <w:tcPr>
                  <w:tcW w:w="575" w:type="dxa"/>
                  <w:tcMar>
                    <w:top w:w="15" w:type="dxa"/>
                    <w:left w:w="15" w:type="dxa"/>
                    <w:right w:w="15" w:type="dxa"/>
                  </w:tcMar>
                  <w:vAlign w:val="center"/>
                </w:tcPr>
                <w:p>
                  <w:pPr>
                    <w:tabs>
                      <w:tab w:val="left" w:pos="417"/>
                      <w:tab w:val="left" w:pos="3615"/>
                    </w:tabs>
                    <w:jc w:val="center"/>
                    <w:rPr>
                      <w:sz w:val="20"/>
                    </w:rPr>
                  </w:pPr>
                  <w:r>
                    <w:rPr>
                      <w:sz w:val="20"/>
                    </w:rPr>
                    <w:t>13</w:t>
                  </w:r>
                </w:p>
              </w:tc>
              <w:tc>
                <w:tcPr>
                  <w:tcW w:w="492" w:type="dxa"/>
                  <w:tcMar>
                    <w:top w:w="15" w:type="dxa"/>
                    <w:left w:w="15" w:type="dxa"/>
                    <w:right w:w="15" w:type="dxa"/>
                  </w:tcMar>
                  <w:vAlign w:val="center"/>
                </w:tcPr>
                <w:p>
                  <w:pPr>
                    <w:tabs>
                      <w:tab w:val="left" w:pos="417"/>
                      <w:tab w:val="left" w:pos="3615"/>
                    </w:tabs>
                    <w:jc w:val="center"/>
                    <w:rPr>
                      <w:sz w:val="20"/>
                    </w:rPr>
                  </w:pPr>
                  <w:r>
                    <w:rPr>
                      <w:sz w:val="20"/>
                    </w:rPr>
                    <w:t>1512</w:t>
                  </w:r>
                </w:p>
              </w:tc>
              <w:tc>
                <w:tcPr>
                  <w:tcW w:w="474" w:type="dxa"/>
                  <w:tcMar>
                    <w:top w:w="15" w:type="dxa"/>
                    <w:left w:w="15" w:type="dxa"/>
                    <w:right w:w="15" w:type="dxa"/>
                  </w:tcMar>
                  <w:vAlign w:val="center"/>
                </w:tcPr>
                <w:p>
                  <w:pPr>
                    <w:tabs>
                      <w:tab w:val="left" w:pos="417"/>
                      <w:tab w:val="left" w:pos="3615"/>
                    </w:tabs>
                    <w:jc w:val="center"/>
                    <w:rPr>
                      <w:sz w:val="20"/>
                    </w:rPr>
                  </w:pPr>
                  <w:r>
                    <w:rPr>
                      <w:sz w:val="20"/>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三营镇</w:t>
                  </w:r>
                </w:p>
              </w:tc>
              <w:tc>
                <w:tcPr>
                  <w:tcW w:w="329" w:type="dxa"/>
                  <w:tcMar>
                    <w:top w:w="15" w:type="dxa"/>
                    <w:left w:w="15" w:type="dxa"/>
                    <w:right w:w="15" w:type="dxa"/>
                  </w:tcMar>
                  <w:vAlign w:val="center"/>
                </w:tcPr>
                <w:p>
                  <w:pPr>
                    <w:tabs>
                      <w:tab w:val="left" w:pos="417"/>
                      <w:tab w:val="left" w:pos="3615"/>
                    </w:tabs>
                    <w:jc w:val="center"/>
                    <w:rPr>
                      <w:sz w:val="20"/>
                    </w:rPr>
                  </w:pPr>
                  <w:r>
                    <w:rPr>
                      <w:sz w:val="20"/>
                    </w:rPr>
                    <w:t>共和</w:t>
                  </w:r>
                </w:p>
              </w:tc>
              <w:tc>
                <w:tcPr>
                  <w:tcW w:w="662" w:type="dxa"/>
                  <w:tcMar>
                    <w:top w:w="15" w:type="dxa"/>
                    <w:left w:w="15" w:type="dxa"/>
                    <w:right w:w="15" w:type="dxa"/>
                  </w:tcMar>
                  <w:vAlign w:val="center"/>
                </w:tcPr>
                <w:p>
                  <w:pPr>
                    <w:tabs>
                      <w:tab w:val="left" w:pos="417"/>
                      <w:tab w:val="left" w:pos="3615"/>
                    </w:tabs>
                    <w:jc w:val="center"/>
                    <w:rPr>
                      <w:sz w:val="20"/>
                    </w:rPr>
                  </w:pPr>
                  <w:r>
                    <w:rPr>
                      <w:sz w:val="20"/>
                    </w:rPr>
                    <w:t>郑家庄</w:t>
                  </w:r>
                </w:p>
              </w:tc>
              <w:tc>
                <w:tcPr>
                  <w:tcW w:w="425" w:type="dxa"/>
                  <w:tcMar>
                    <w:top w:w="15" w:type="dxa"/>
                    <w:left w:w="15" w:type="dxa"/>
                    <w:right w:w="15" w:type="dxa"/>
                  </w:tcMar>
                  <w:vAlign w:val="center"/>
                </w:tcPr>
                <w:p>
                  <w:pPr>
                    <w:tabs>
                      <w:tab w:val="left" w:pos="417"/>
                      <w:tab w:val="left" w:pos="3615"/>
                    </w:tabs>
                    <w:jc w:val="center"/>
                    <w:rPr>
                      <w:sz w:val="20"/>
                    </w:rPr>
                  </w:pPr>
                  <w:r>
                    <w:rPr>
                      <w:sz w:val="20"/>
                    </w:rPr>
                    <w:t>47</w:t>
                  </w:r>
                </w:p>
              </w:tc>
              <w:tc>
                <w:tcPr>
                  <w:tcW w:w="425" w:type="dxa"/>
                  <w:tcMar>
                    <w:top w:w="15" w:type="dxa"/>
                    <w:left w:w="15" w:type="dxa"/>
                    <w:right w:w="15" w:type="dxa"/>
                  </w:tcMar>
                  <w:vAlign w:val="center"/>
                </w:tcPr>
                <w:p>
                  <w:pPr>
                    <w:tabs>
                      <w:tab w:val="left" w:pos="417"/>
                      <w:tab w:val="left" w:pos="3615"/>
                    </w:tabs>
                    <w:jc w:val="center"/>
                    <w:rPr>
                      <w:sz w:val="20"/>
                    </w:rPr>
                  </w:pPr>
                  <w:r>
                    <w:rPr>
                      <w:sz w:val="20"/>
                    </w:rPr>
                    <w:t>47</w:t>
                  </w:r>
                </w:p>
              </w:tc>
              <w:tc>
                <w:tcPr>
                  <w:tcW w:w="425" w:type="dxa"/>
                  <w:tcMar>
                    <w:top w:w="15" w:type="dxa"/>
                    <w:left w:w="15" w:type="dxa"/>
                    <w:right w:w="15" w:type="dxa"/>
                  </w:tcMar>
                  <w:vAlign w:val="center"/>
                </w:tcPr>
                <w:p>
                  <w:pPr>
                    <w:tabs>
                      <w:tab w:val="left" w:pos="417"/>
                      <w:tab w:val="left" w:pos="3615"/>
                    </w:tabs>
                    <w:jc w:val="center"/>
                    <w:rPr>
                      <w:sz w:val="20"/>
                    </w:rPr>
                  </w:pPr>
                  <w:r>
                    <w:rPr>
                      <w:sz w:val="20"/>
                    </w:rPr>
                    <w:t>117</w:t>
                  </w:r>
                </w:p>
              </w:tc>
              <w:tc>
                <w:tcPr>
                  <w:tcW w:w="413" w:type="dxa"/>
                  <w:tcMar>
                    <w:top w:w="15" w:type="dxa"/>
                    <w:left w:w="15" w:type="dxa"/>
                    <w:right w:w="15" w:type="dxa"/>
                  </w:tcMar>
                  <w:vAlign w:val="center"/>
                </w:tcPr>
                <w:p>
                  <w:pPr>
                    <w:tabs>
                      <w:tab w:val="left" w:pos="417"/>
                      <w:tab w:val="left" w:pos="3615"/>
                    </w:tabs>
                    <w:jc w:val="center"/>
                    <w:rPr>
                      <w:sz w:val="20"/>
                    </w:rPr>
                  </w:pPr>
                  <w:r>
                    <w:rPr>
                      <w:sz w:val="20"/>
                    </w:rPr>
                    <w:t>117</w:t>
                  </w:r>
                </w:p>
              </w:tc>
              <w:tc>
                <w:tcPr>
                  <w:tcW w:w="450" w:type="dxa"/>
                  <w:tcMar>
                    <w:top w:w="15" w:type="dxa"/>
                    <w:left w:w="15" w:type="dxa"/>
                    <w:right w:w="15" w:type="dxa"/>
                  </w:tcMar>
                  <w:vAlign w:val="center"/>
                </w:tcPr>
                <w:p>
                  <w:pPr>
                    <w:tabs>
                      <w:tab w:val="left" w:pos="417"/>
                      <w:tab w:val="left" w:pos="3615"/>
                    </w:tabs>
                    <w:jc w:val="center"/>
                    <w:rPr>
                      <w:sz w:val="20"/>
                    </w:rPr>
                  </w:pPr>
                  <w:r>
                    <w:rPr>
                      <w:sz w:val="20"/>
                    </w:rPr>
                    <w:t>281</w:t>
                  </w:r>
                </w:p>
              </w:tc>
              <w:tc>
                <w:tcPr>
                  <w:tcW w:w="387" w:type="dxa"/>
                  <w:tcMar>
                    <w:top w:w="15" w:type="dxa"/>
                    <w:left w:w="15" w:type="dxa"/>
                    <w:right w:w="15" w:type="dxa"/>
                  </w:tcMar>
                  <w:vAlign w:val="center"/>
                </w:tcPr>
                <w:p>
                  <w:pPr>
                    <w:tabs>
                      <w:tab w:val="left" w:pos="417"/>
                      <w:tab w:val="left" w:pos="3615"/>
                    </w:tabs>
                    <w:jc w:val="center"/>
                    <w:rPr>
                      <w:sz w:val="20"/>
                    </w:rPr>
                  </w:pPr>
                  <w:r>
                    <w:rPr>
                      <w:sz w:val="20"/>
                    </w:rPr>
                    <w:t>94</w:t>
                  </w:r>
                </w:p>
              </w:tc>
              <w:tc>
                <w:tcPr>
                  <w:tcW w:w="538" w:type="dxa"/>
                  <w:tcMar>
                    <w:top w:w="15" w:type="dxa"/>
                    <w:left w:w="15" w:type="dxa"/>
                    <w:right w:w="15" w:type="dxa"/>
                  </w:tcMar>
                  <w:vAlign w:val="center"/>
                </w:tcPr>
                <w:p>
                  <w:pPr>
                    <w:tabs>
                      <w:tab w:val="left" w:pos="417"/>
                      <w:tab w:val="left" w:pos="3615"/>
                    </w:tabs>
                    <w:jc w:val="center"/>
                    <w:rPr>
                      <w:sz w:val="20"/>
                    </w:rPr>
                  </w:pPr>
                  <w:r>
                    <w:rPr>
                      <w:sz w:val="20"/>
                    </w:rPr>
                    <w:t>702</w:t>
                  </w:r>
                </w:p>
              </w:tc>
              <w:tc>
                <w:tcPr>
                  <w:tcW w:w="475" w:type="dxa"/>
                  <w:tcMar>
                    <w:top w:w="15" w:type="dxa"/>
                    <w:left w:w="15" w:type="dxa"/>
                    <w:right w:w="15" w:type="dxa"/>
                  </w:tcMar>
                  <w:vAlign w:val="center"/>
                </w:tcPr>
                <w:p>
                  <w:pPr>
                    <w:tabs>
                      <w:tab w:val="left" w:pos="417"/>
                      <w:tab w:val="left" w:pos="3615"/>
                    </w:tabs>
                    <w:jc w:val="center"/>
                    <w:rPr>
                      <w:sz w:val="20"/>
                    </w:rPr>
                  </w:pPr>
                  <w:r>
                    <w:rPr>
                      <w:sz w:val="20"/>
                    </w:rPr>
                    <w:t>234</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9</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11</w:t>
                  </w:r>
                </w:p>
              </w:tc>
              <w:tc>
                <w:tcPr>
                  <w:tcW w:w="475" w:type="dxa"/>
                  <w:tcMar>
                    <w:top w:w="15" w:type="dxa"/>
                    <w:left w:w="15" w:type="dxa"/>
                    <w:right w:w="15" w:type="dxa"/>
                  </w:tcMar>
                  <w:vAlign w:val="center"/>
                </w:tcPr>
                <w:p>
                  <w:pPr>
                    <w:tabs>
                      <w:tab w:val="left" w:pos="417"/>
                      <w:tab w:val="left" w:pos="3615"/>
                    </w:tabs>
                    <w:jc w:val="center"/>
                    <w:rPr>
                      <w:sz w:val="20"/>
                    </w:rPr>
                  </w:pPr>
                  <w:r>
                    <w:rPr>
                      <w:sz w:val="20"/>
                    </w:rPr>
                    <w:t>43</w:t>
                  </w:r>
                </w:p>
              </w:tc>
              <w:tc>
                <w:tcPr>
                  <w:tcW w:w="575" w:type="dxa"/>
                  <w:tcMar>
                    <w:top w:w="15" w:type="dxa"/>
                    <w:left w:w="15" w:type="dxa"/>
                    <w:right w:w="15" w:type="dxa"/>
                  </w:tcMar>
                  <w:vAlign w:val="center"/>
                </w:tcPr>
                <w:p>
                  <w:pPr>
                    <w:tabs>
                      <w:tab w:val="left" w:pos="417"/>
                      <w:tab w:val="left" w:pos="3615"/>
                    </w:tabs>
                    <w:jc w:val="center"/>
                    <w:rPr>
                      <w:sz w:val="20"/>
                    </w:rPr>
                  </w:pPr>
                  <w:r>
                    <w:rPr>
                      <w:sz w:val="20"/>
                    </w:rPr>
                    <w:t>19</w:t>
                  </w:r>
                </w:p>
              </w:tc>
              <w:tc>
                <w:tcPr>
                  <w:tcW w:w="492" w:type="dxa"/>
                  <w:tcMar>
                    <w:top w:w="15" w:type="dxa"/>
                    <w:left w:w="15" w:type="dxa"/>
                    <w:right w:w="15" w:type="dxa"/>
                  </w:tcMar>
                  <w:vAlign w:val="center"/>
                </w:tcPr>
                <w:p>
                  <w:pPr>
                    <w:tabs>
                      <w:tab w:val="left" w:pos="417"/>
                      <w:tab w:val="left" w:pos="3615"/>
                    </w:tabs>
                    <w:jc w:val="center"/>
                    <w:rPr>
                      <w:sz w:val="20"/>
                    </w:rPr>
                  </w:pPr>
                  <w:r>
                    <w:rPr>
                      <w:sz w:val="20"/>
                    </w:rPr>
                    <w:t>2166</w:t>
                  </w:r>
                </w:p>
              </w:tc>
              <w:tc>
                <w:tcPr>
                  <w:tcW w:w="474" w:type="dxa"/>
                  <w:tcMar>
                    <w:top w:w="15" w:type="dxa"/>
                    <w:left w:w="15" w:type="dxa"/>
                    <w:right w:w="15" w:type="dxa"/>
                  </w:tcMar>
                  <w:vAlign w:val="center"/>
                </w:tcPr>
                <w:p>
                  <w:pPr>
                    <w:tabs>
                      <w:tab w:val="left" w:pos="417"/>
                      <w:tab w:val="left" w:pos="3615"/>
                    </w:tabs>
                    <w:jc w:val="center"/>
                    <w:rPr>
                      <w:sz w:val="20"/>
                    </w:rPr>
                  </w:pPr>
                  <w:r>
                    <w:rPr>
                      <w:sz w:val="20"/>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新龙</w:t>
                  </w:r>
                </w:p>
              </w:tc>
              <w:tc>
                <w:tcPr>
                  <w:tcW w:w="662" w:type="dxa"/>
                  <w:tcMar>
                    <w:top w:w="15" w:type="dxa"/>
                    <w:left w:w="15" w:type="dxa"/>
                    <w:right w:w="15" w:type="dxa"/>
                  </w:tcMar>
                  <w:vAlign w:val="center"/>
                </w:tcPr>
                <w:p>
                  <w:pPr>
                    <w:tabs>
                      <w:tab w:val="left" w:pos="417"/>
                      <w:tab w:val="left" w:pos="3615"/>
                    </w:tabs>
                    <w:jc w:val="center"/>
                    <w:rPr>
                      <w:sz w:val="20"/>
                    </w:rPr>
                  </w:pPr>
                  <w:r>
                    <w:rPr>
                      <w:sz w:val="20"/>
                    </w:rPr>
                    <w:t>新龙</w:t>
                  </w:r>
                </w:p>
              </w:tc>
              <w:tc>
                <w:tcPr>
                  <w:tcW w:w="425" w:type="dxa"/>
                  <w:tcMar>
                    <w:top w:w="15" w:type="dxa"/>
                    <w:left w:w="15" w:type="dxa"/>
                    <w:right w:w="15" w:type="dxa"/>
                  </w:tcMar>
                  <w:vAlign w:val="center"/>
                </w:tcPr>
                <w:p>
                  <w:pPr>
                    <w:tabs>
                      <w:tab w:val="left" w:pos="417"/>
                      <w:tab w:val="left" w:pos="3615"/>
                    </w:tabs>
                    <w:jc w:val="center"/>
                    <w:rPr>
                      <w:sz w:val="20"/>
                    </w:rPr>
                  </w:pPr>
                  <w:r>
                    <w:rPr>
                      <w:sz w:val="20"/>
                    </w:rPr>
                    <w:t>37</w:t>
                  </w:r>
                </w:p>
              </w:tc>
              <w:tc>
                <w:tcPr>
                  <w:tcW w:w="425" w:type="dxa"/>
                  <w:tcMar>
                    <w:top w:w="15" w:type="dxa"/>
                    <w:left w:w="15" w:type="dxa"/>
                    <w:right w:w="15" w:type="dxa"/>
                  </w:tcMar>
                  <w:vAlign w:val="center"/>
                </w:tcPr>
                <w:p>
                  <w:pPr>
                    <w:tabs>
                      <w:tab w:val="left" w:pos="417"/>
                      <w:tab w:val="left" w:pos="3615"/>
                    </w:tabs>
                    <w:jc w:val="center"/>
                    <w:rPr>
                      <w:sz w:val="20"/>
                    </w:rPr>
                  </w:pPr>
                  <w:r>
                    <w:rPr>
                      <w:sz w:val="20"/>
                    </w:rPr>
                    <w:t>37</w:t>
                  </w:r>
                </w:p>
              </w:tc>
              <w:tc>
                <w:tcPr>
                  <w:tcW w:w="425" w:type="dxa"/>
                  <w:tcMar>
                    <w:top w:w="15" w:type="dxa"/>
                    <w:left w:w="15" w:type="dxa"/>
                    <w:right w:w="15" w:type="dxa"/>
                  </w:tcMar>
                  <w:vAlign w:val="center"/>
                </w:tcPr>
                <w:p>
                  <w:pPr>
                    <w:tabs>
                      <w:tab w:val="left" w:pos="417"/>
                      <w:tab w:val="left" w:pos="3615"/>
                    </w:tabs>
                    <w:jc w:val="center"/>
                    <w:rPr>
                      <w:sz w:val="20"/>
                    </w:rPr>
                  </w:pPr>
                  <w:r>
                    <w:rPr>
                      <w:sz w:val="20"/>
                    </w:rPr>
                    <w:t>93</w:t>
                  </w:r>
                </w:p>
              </w:tc>
              <w:tc>
                <w:tcPr>
                  <w:tcW w:w="413" w:type="dxa"/>
                  <w:tcMar>
                    <w:top w:w="15" w:type="dxa"/>
                    <w:left w:w="15" w:type="dxa"/>
                    <w:right w:w="15" w:type="dxa"/>
                  </w:tcMar>
                  <w:vAlign w:val="center"/>
                </w:tcPr>
                <w:p>
                  <w:pPr>
                    <w:tabs>
                      <w:tab w:val="left" w:pos="417"/>
                      <w:tab w:val="left" w:pos="3615"/>
                    </w:tabs>
                    <w:jc w:val="center"/>
                    <w:rPr>
                      <w:sz w:val="20"/>
                    </w:rPr>
                  </w:pPr>
                  <w:r>
                    <w:rPr>
                      <w:sz w:val="20"/>
                    </w:rPr>
                    <w:t>93</w:t>
                  </w:r>
                </w:p>
              </w:tc>
              <w:tc>
                <w:tcPr>
                  <w:tcW w:w="450" w:type="dxa"/>
                  <w:tcMar>
                    <w:top w:w="15" w:type="dxa"/>
                    <w:left w:w="15" w:type="dxa"/>
                    <w:right w:w="15" w:type="dxa"/>
                  </w:tcMar>
                  <w:vAlign w:val="center"/>
                </w:tcPr>
                <w:p>
                  <w:pPr>
                    <w:tabs>
                      <w:tab w:val="left" w:pos="417"/>
                      <w:tab w:val="left" w:pos="3615"/>
                    </w:tabs>
                    <w:jc w:val="center"/>
                    <w:rPr>
                      <w:sz w:val="20"/>
                    </w:rPr>
                  </w:pPr>
                  <w:r>
                    <w:rPr>
                      <w:sz w:val="20"/>
                    </w:rPr>
                    <w:t>224</w:t>
                  </w:r>
                </w:p>
              </w:tc>
              <w:tc>
                <w:tcPr>
                  <w:tcW w:w="387" w:type="dxa"/>
                  <w:tcMar>
                    <w:top w:w="15" w:type="dxa"/>
                    <w:left w:w="15" w:type="dxa"/>
                    <w:right w:w="15" w:type="dxa"/>
                  </w:tcMar>
                  <w:vAlign w:val="center"/>
                </w:tcPr>
                <w:p>
                  <w:pPr>
                    <w:tabs>
                      <w:tab w:val="left" w:pos="417"/>
                      <w:tab w:val="left" w:pos="3615"/>
                    </w:tabs>
                    <w:jc w:val="center"/>
                    <w:rPr>
                      <w:sz w:val="20"/>
                    </w:rPr>
                  </w:pPr>
                  <w:r>
                    <w:rPr>
                      <w:sz w:val="20"/>
                    </w:rPr>
                    <w:t>75</w:t>
                  </w:r>
                </w:p>
              </w:tc>
              <w:tc>
                <w:tcPr>
                  <w:tcW w:w="538" w:type="dxa"/>
                  <w:tcMar>
                    <w:top w:w="15" w:type="dxa"/>
                    <w:left w:w="15" w:type="dxa"/>
                    <w:right w:w="15" w:type="dxa"/>
                  </w:tcMar>
                  <w:vAlign w:val="center"/>
                </w:tcPr>
                <w:p>
                  <w:pPr>
                    <w:tabs>
                      <w:tab w:val="left" w:pos="417"/>
                      <w:tab w:val="left" w:pos="3615"/>
                    </w:tabs>
                    <w:jc w:val="center"/>
                    <w:rPr>
                      <w:sz w:val="20"/>
                    </w:rPr>
                  </w:pPr>
                  <w:r>
                    <w:rPr>
                      <w:sz w:val="20"/>
                    </w:rPr>
                    <w:t>560</w:t>
                  </w:r>
                </w:p>
              </w:tc>
              <w:tc>
                <w:tcPr>
                  <w:tcW w:w="475" w:type="dxa"/>
                  <w:tcMar>
                    <w:top w:w="15" w:type="dxa"/>
                    <w:left w:w="15" w:type="dxa"/>
                    <w:right w:w="15" w:type="dxa"/>
                  </w:tcMar>
                  <w:vAlign w:val="center"/>
                </w:tcPr>
                <w:p>
                  <w:pPr>
                    <w:tabs>
                      <w:tab w:val="left" w:pos="417"/>
                      <w:tab w:val="left" w:pos="3615"/>
                    </w:tabs>
                    <w:jc w:val="center"/>
                    <w:rPr>
                      <w:sz w:val="20"/>
                    </w:rPr>
                  </w:pPr>
                  <w:r>
                    <w:rPr>
                      <w:sz w:val="20"/>
                    </w:rPr>
                    <w:t>187</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35</w:t>
                  </w:r>
                </w:p>
              </w:tc>
              <w:tc>
                <w:tcPr>
                  <w:tcW w:w="575" w:type="dxa"/>
                  <w:tcMar>
                    <w:top w:w="15" w:type="dxa"/>
                    <w:left w:w="15" w:type="dxa"/>
                    <w:right w:w="15" w:type="dxa"/>
                  </w:tcMar>
                  <w:vAlign w:val="center"/>
                </w:tcPr>
                <w:p>
                  <w:pPr>
                    <w:tabs>
                      <w:tab w:val="left" w:pos="417"/>
                      <w:tab w:val="left" w:pos="3615"/>
                    </w:tabs>
                    <w:jc w:val="center"/>
                    <w:rPr>
                      <w:sz w:val="20"/>
                    </w:rPr>
                  </w:pPr>
                  <w:r>
                    <w:rPr>
                      <w:sz w:val="20"/>
                    </w:rPr>
                    <w:t>15</w:t>
                  </w:r>
                </w:p>
              </w:tc>
              <w:tc>
                <w:tcPr>
                  <w:tcW w:w="492" w:type="dxa"/>
                  <w:tcMar>
                    <w:top w:w="15" w:type="dxa"/>
                    <w:left w:w="15" w:type="dxa"/>
                    <w:right w:w="15" w:type="dxa"/>
                  </w:tcMar>
                  <w:vAlign w:val="center"/>
                </w:tcPr>
                <w:p>
                  <w:pPr>
                    <w:tabs>
                      <w:tab w:val="left" w:pos="417"/>
                      <w:tab w:val="left" w:pos="3615"/>
                    </w:tabs>
                    <w:jc w:val="center"/>
                    <w:rPr>
                      <w:sz w:val="20"/>
                    </w:rPr>
                  </w:pPr>
                  <w:r>
                    <w:rPr>
                      <w:sz w:val="20"/>
                    </w:rPr>
                    <w:t>1728</w:t>
                  </w:r>
                </w:p>
              </w:tc>
              <w:tc>
                <w:tcPr>
                  <w:tcW w:w="474" w:type="dxa"/>
                  <w:tcMar>
                    <w:top w:w="15" w:type="dxa"/>
                    <w:left w:w="15" w:type="dxa"/>
                    <w:right w:w="15" w:type="dxa"/>
                  </w:tcMar>
                  <w:vAlign w:val="center"/>
                </w:tcPr>
                <w:p>
                  <w:pPr>
                    <w:tabs>
                      <w:tab w:val="left" w:pos="417"/>
                      <w:tab w:val="left" w:pos="3615"/>
                    </w:tabs>
                    <w:jc w:val="center"/>
                    <w:rPr>
                      <w:sz w:val="20"/>
                    </w:rPr>
                  </w:pPr>
                  <w:r>
                    <w:rPr>
                      <w:sz w:val="20"/>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5" w:type="dxa"/>
                  <w:gridSpan w:val="3"/>
                  <w:tcMar>
                    <w:top w:w="15" w:type="dxa"/>
                    <w:left w:w="15" w:type="dxa"/>
                    <w:right w:w="15" w:type="dxa"/>
                  </w:tcMar>
                  <w:vAlign w:val="center"/>
                </w:tcPr>
                <w:p>
                  <w:pPr>
                    <w:tabs>
                      <w:tab w:val="left" w:pos="417"/>
                      <w:tab w:val="left" w:pos="3615"/>
                    </w:tabs>
                    <w:jc w:val="center"/>
                    <w:rPr>
                      <w:sz w:val="20"/>
                    </w:rPr>
                  </w:pPr>
                  <w:r>
                    <w:rPr>
                      <w:sz w:val="20"/>
                    </w:rPr>
                    <w:t>合计</w:t>
                  </w:r>
                </w:p>
              </w:tc>
              <w:tc>
                <w:tcPr>
                  <w:tcW w:w="425" w:type="dxa"/>
                  <w:tcMar>
                    <w:top w:w="15" w:type="dxa"/>
                    <w:left w:w="15" w:type="dxa"/>
                    <w:right w:w="15" w:type="dxa"/>
                  </w:tcMar>
                  <w:vAlign w:val="center"/>
                </w:tcPr>
                <w:p>
                  <w:pPr>
                    <w:tabs>
                      <w:tab w:val="left" w:pos="417"/>
                      <w:tab w:val="left" w:pos="3615"/>
                    </w:tabs>
                    <w:jc w:val="center"/>
                    <w:rPr>
                      <w:sz w:val="20"/>
                    </w:rPr>
                  </w:pPr>
                  <w:r>
                    <w:rPr>
                      <w:sz w:val="20"/>
                    </w:rPr>
                    <w:t>3200</w:t>
                  </w:r>
                </w:p>
              </w:tc>
              <w:tc>
                <w:tcPr>
                  <w:tcW w:w="425" w:type="dxa"/>
                  <w:tcMar>
                    <w:top w:w="15" w:type="dxa"/>
                    <w:left w:w="15" w:type="dxa"/>
                    <w:right w:w="15" w:type="dxa"/>
                  </w:tcMar>
                  <w:vAlign w:val="center"/>
                </w:tcPr>
                <w:p>
                  <w:pPr>
                    <w:tabs>
                      <w:tab w:val="left" w:pos="417"/>
                      <w:tab w:val="left" w:pos="3615"/>
                    </w:tabs>
                    <w:jc w:val="center"/>
                    <w:rPr>
                      <w:sz w:val="20"/>
                    </w:rPr>
                  </w:pPr>
                  <w:r>
                    <w:rPr>
                      <w:sz w:val="20"/>
                    </w:rPr>
                    <w:t>3200</w:t>
                  </w:r>
                </w:p>
              </w:tc>
              <w:tc>
                <w:tcPr>
                  <w:tcW w:w="425" w:type="dxa"/>
                  <w:tcMar>
                    <w:top w:w="15" w:type="dxa"/>
                    <w:left w:w="15" w:type="dxa"/>
                    <w:right w:w="15" w:type="dxa"/>
                  </w:tcMar>
                  <w:vAlign w:val="center"/>
                </w:tcPr>
                <w:p>
                  <w:pPr>
                    <w:tabs>
                      <w:tab w:val="left" w:pos="417"/>
                      <w:tab w:val="left" w:pos="3615"/>
                    </w:tabs>
                    <w:jc w:val="center"/>
                    <w:rPr>
                      <w:sz w:val="20"/>
                    </w:rPr>
                  </w:pPr>
                  <w:r>
                    <w:rPr>
                      <w:sz w:val="20"/>
                    </w:rPr>
                    <w:t>8001</w:t>
                  </w:r>
                </w:p>
              </w:tc>
              <w:tc>
                <w:tcPr>
                  <w:tcW w:w="413" w:type="dxa"/>
                  <w:tcMar>
                    <w:top w:w="15" w:type="dxa"/>
                    <w:left w:w="15" w:type="dxa"/>
                    <w:right w:w="15" w:type="dxa"/>
                  </w:tcMar>
                  <w:vAlign w:val="center"/>
                </w:tcPr>
                <w:p>
                  <w:pPr>
                    <w:tabs>
                      <w:tab w:val="left" w:pos="417"/>
                      <w:tab w:val="left" w:pos="3615"/>
                    </w:tabs>
                    <w:jc w:val="center"/>
                    <w:rPr>
                      <w:sz w:val="20"/>
                    </w:rPr>
                  </w:pPr>
                  <w:r>
                    <w:rPr>
                      <w:sz w:val="20"/>
                    </w:rPr>
                    <w:t>8001</w:t>
                  </w:r>
                </w:p>
              </w:tc>
              <w:tc>
                <w:tcPr>
                  <w:tcW w:w="450" w:type="dxa"/>
                  <w:tcMar>
                    <w:top w:w="15" w:type="dxa"/>
                    <w:left w:w="15" w:type="dxa"/>
                    <w:right w:w="15" w:type="dxa"/>
                  </w:tcMar>
                  <w:vAlign w:val="center"/>
                </w:tcPr>
                <w:p>
                  <w:pPr>
                    <w:tabs>
                      <w:tab w:val="left" w:pos="417"/>
                      <w:tab w:val="left" w:pos="3615"/>
                    </w:tabs>
                    <w:jc w:val="center"/>
                    <w:rPr>
                      <w:sz w:val="20"/>
                    </w:rPr>
                  </w:pPr>
                  <w:r>
                    <w:rPr>
                      <w:sz w:val="20"/>
                    </w:rPr>
                    <w:t>19201</w:t>
                  </w:r>
                </w:p>
              </w:tc>
              <w:tc>
                <w:tcPr>
                  <w:tcW w:w="387" w:type="dxa"/>
                  <w:tcMar>
                    <w:top w:w="15" w:type="dxa"/>
                    <w:left w:w="15" w:type="dxa"/>
                    <w:right w:w="15" w:type="dxa"/>
                  </w:tcMar>
                  <w:vAlign w:val="center"/>
                </w:tcPr>
                <w:p>
                  <w:pPr>
                    <w:tabs>
                      <w:tab w:val="left" w:pos="417"/>
                      <w:tab w:val="left" w:pos="3615"/>
                    </w:tabs>
                    <w:jc w:val="center"/>
                    <w:rPr>
                      <w:sz w:val="20"/>
                    </w:rPr>
                  </w:pPr>
                  <w:r>
                    <w:rPr>
                      <w:sz w:val="20"/>
                    </w:rPr>
                    <w:t>6400</w:t>
                  </w:r>
                </w:p>
              </w:tc>
              <w:tc>
                <w:tcPr>
                  <w:tcW w:w="538" w:type="dxa"/>
                  <w:tcMar>
                    <w:top w:w="15" w:type="dxa"/>
                    <w:left w:w="15" w:type="dxa"/>
                    <w:right w:w="15" w:type="dxa"/>
                  </w:tcMar>
                  <w:vAlign w:val="center"/>
                </w:tcPr>
                <w:p>
                  <w:pPr>
                    <w:tabs>
                      <w:tab w:val="left" w:pos="417"/>
                      <w:tab w:val="left" w:pos="3615"/>
                    </w:tabs>
                    <w:jc w:val="center"/>
                    <w:rPr>
                      <w:sz w:val="20"/>
                    </w:rPr>
                  </w:pPr>
                  <w:r>
                    <w:rPr>
                      <w:sz w:val="20"/>
                    </w:rPr>
                    <w:t>48004</w:t>
                  </w:r>
                </w:p>
              </w:tc>
              <w:tc>
                <w:tcPr>
                  <w:tcW w:w="475" w:type="dxa"/>
                  <w:tcMar>
                    <w:top w:w="15" w:type="dxa"/>
                    <w:left w:w="15" w:type="dxa"/>
                    <w:right w:w="15" w:type="dxa"/>
                  </w:tcMar>
                  <w:vAlign w:val="center"/>
                </w:tcPr>
                <w:p>
                  <w:pPr>
                    <w:tabs>
                      <w:tab w:val="left" w:pos="417"/>
                      <w:tab w:val="left" w:pos="3615"/>
                    </w:tabs>
                    <w:jc w:val="center"/>
                    <w:rPr>
                      <w:sz w:val="20"/>
                    </w:rPr>
                  </w:pPr>
                  <w:r>
                    <w:rPr>
                      <w:sz w:val="20"/>
                    </w:rPr>
                    <w:t>16001</w:t>
                  </w:r>
                </w:p>
              </w:tc>
              <w:tc>
                <w:tcPr>
                  <w:tcW w:w="437" w:type="dxa"/>
                  <w:tcMar>
                    <w:top w:w="15" w:type="dxa"/>
                    <w:left w:w="15" w:type="dxa"/>
                    <w:right w:w="15" w:type="dxa"/>
                  </w:tcMar>
                  <w:vAlign w:val="center"/>
                </w:tcPr>
                <w:p>
                  <w:pPr>
                    <w:tabs>
                      <w:tab w:val="left" w:pos="417"/>
                      <w:tab w:val="left" w:pos="3615"/>
                    </w:tabs>
                    <w:jc w:val="center"/>
                    <w:rPr>
                      <w:sz w:val="20"/>
                    </w:rPr>
                  </w:pPr>
                  <w:r>
                    <w:rPr>
                      <w:sz w:val="20"/>
                    </w:rPr>
                    <w:t>128</w:t>
                  </w:r>
                </w:p>
              </w:tc>
              <w:tc>
                <w:tcPr>
                  <w:tcW w:w="475" w:type="dxa"/>
                  <w:tcMar>
                    <w:top w:w="15" w:type="dxa"/>
                    <w:left w:w="15" w:type="dxa"/>
                    <w:right w:w="15" w:type="dxa"/>
                  </w:tcMar>
                  <w:vAlign w:val="center"/>
                </w:tcPr>
                <w:p>
                  <w:pPr>
                    <w:tabs>
                      <w:tab w:val="left" w:pos="417"/>
                      <w:tab w:val="left" w:pos="3615"/>
                    </w:tabs>
                    <w:jc w:val="center"/>
                    <w:rPr>
                      <w:sz w:val="20"/>
                    </w:rPr>
                  </w:pPr>
                  <w:r>
                    <w:rPr>
                      <w:sz w:val="20"/>
                    </w:rPr>
                    <w:t>640</w:t>
                  </w:r>
                </w:p>
              </w:tc>
              <w:tc>
                <w:tcPr>
                  <w:tcW w:w="425" w:type="dxa"/>
                  <w:tcMar>
                    <w:top w:w="15" w:type="dxa"/>
                    <w:left w:w="15" w:type="dxa"/>
                    <w:right w:w="15" w:type="dxa"/>
                  </w:tcMar>
                  <w:vAlign w:val="center"/>
                </w:tcPr>
                <w:p>
                  <w:pPr>
                    <w:tabs>
                      <w:tab w:val="left" w:pos="417"/>
                      <w:tab w:val="left" w:pos="3615"/>
                    </w:tabs>
                    <w:jc w:val="center"/>
                    <w:rPr>
                      <w:sz w:val="20"/>
                    </w:rPr>
                  </w:pPr>
                  <w:r>
                    <w:rPr>
                      <w:sz w:val="20"/>
                    </w:rPr>
                    <w:t>213</w:t>
                  </w:r>
                </w:p>
              </w:tc>
              <w:tc>
                <w:tcPr>
                  <w:tcW w:w="463" w:type="dxa"/>
                  <w:tcMar>
                    <w:top w:w="15" w:type="dxa"/>
                    <w:left w:w="15" w:type="dxa"/>
                    <w:right w:w="15" w:type="dxa"/>
                  </w:tcMar>
                  <w:vAlign w:val="center"/>
                </w:tcPr>
                <w:p>
                  <w:pPr>
                    <w:tabs>
                      <w:tab w:val="left" w:pos="417"/>
                      <w:tab w:val="left" w:pos="3615"/>
                    </w:tabs>
                    <w:jc w:val="center"/>
                    <w:rPr>
                      <w:sz w:val="20"/>
                    </w:rPr>
                  </w:pPr>
                  <w:r>
                    <w:rPr>
                      <w:sz w:val="20"/>
                    </w:rPr>
                    <w:t>740</w:t>
                  </w:r>
                </w:p>
              </w:tc>
              <w:tc>
                <w:tcPr>
                  <w:tcW w:w="475" w:type="dxa"/>
                  <w:tcMar>
                    <w:top w:w="15" w:type="dxa"/>
                    <w:left w:w="15" w:type="dxa"/>
                    <w:right w:w="15" w:type="dxa"/>
                  </w:tcMar>
                  <w:vAlign w:val="center"/>
                </w:tcPr>
                <w:p>
                  <w:pPr>
                    <w:tabs>
                      <w:tab w:val="left" w:pos="417"/>
                      <w:tab w:val="left" w:pos="3615"/>
                    </w:tabs>
                    <w:jc w:val="center"/>
                    <w:rPr>
                      <w:sz w:val="20"/>
                    </w:rPr>
                  </w:pPr>
                  <w:r>
                    <w:rPr>
                      <w:sz w:val="20"/>
                    </w:rPr>
                    <w:t>2960</w:t>
                  </w:r>
                </w:p>
              </w:tc>
              <w:tc>
                <w:tcPr>
                  <w:tcW w:w="575" w:type="dxa"/>
                  <w:tcMar>
                    <w:top w:w="15" w:type="dxa"/>
                    <w:left w:w="15" w:type="dxa"/>
                    <w:right w:w="15" w:type="dxa"/>
                  </w:tcMar>
                  <w:vAlign w:val="center"/>
                </w:tcPr>
                <w:p>
                  <w:pPr>
                    <w:tabs>
                      <w:tab w:val="left" w:pos="417"/>
                      <w:tab w:val="left" w:pos="3615"/>
                    </w:tabs>
                    <w:jc w:val="center"/>
                    <w:rPr>
                      <w:sz w:val="20"/>
                    </w:rPr>
                  </w:pPr>
                  <w:r>
                    <w:rPr>
                      <w:sz w:val="20"/>
                    </w:rPr>
                    <w:t>1300</w:t>
                  </w:r>
                </w:p>
              </w:tc>
              <w:tc>
                <w:tcPr>
                  <w:tcW w:w="492" w:type="dxa"/>
                  <w:tcMar>
                    <w:top w:w="15" w:type="dxa"/>
                    <w:left w:w="15" w:type="dxa"/>
                    <w:right w:w="15" w:type="dxa"/>
                  </w:tcMar>
                  <w:vAlign w:val="center"/>
                </w:tcPr>
                <w:p>
                  <w:pPr>
                    <w:tabs>
                      <w:tab w:val="left" w:pos="417"/>
                      <w:tab w:val="left" w:pos="3615"/>
                    </w:tabs>
                    <w:jc w:val="center"/>
                    <w:rPr>
                      <w:sz w:val="20"/>
                    </w:rPr>
                  </w:pPr>
                  <w:r>
                    <w:rPr>
                      <w:sz w:val="20"/>
                    </w:rPr>
                    <w:t>148011</w:t>
                  </w:r>
                </w:p>
              </w:tc>
              <w:tc>
                <w:tcPr>
                  <w:tcW w:w="474" w:type="dxa"/>
                  <w:tcMar>
                    <w:top w:w="15" w:type="dxa"/>
                    <w:left w:w="15" w:type="dxa"/>
                    <w:right w:w="15" w:type="dxa"/>
                  </w:tcMar>
                  <w:vAlign w:val="center"/>
                </w:tcPr>
                <w:p>
                  <w:pPr>
                    <w:tabs>
                      <w:tab w:val="left" w:pos="417"/>
                      <w:tab w:val="left" w:pos="3615"/>
                    </w:tabs>
                    <w:jc w:val="center"/>
                    <w:rPr>
                      <w:sz w:val="20"/>
                    </w:rPr>
                  </w:pPr>
                  <w:r>
                    <w:rPr>
                      <w:sz w:val="20"/>
                    </w:rPr>
                    <w:t>68005</w:t>
                  </w:r>
                </w:p>
              </w:tc>
            </w:tr>
          </w:tbl>
          <w:p>
            <w:pPr>
              <w:adjustRightInd w:val="0"/>
              <w:snapToGrid w:val="0"/>
              <w:spacing w:beforeLines="50" w:line="360" w:lineRule="auto"/>
              <w:ind w:left="480" w:leftChars="200"/>
              <w:rPr>
                <w:b/>
                <w:color w:val="FF0000"/>
                <w:szCs w:val="24"/>
              </w:rPr>
            </w:pPr>
            <w:r>
              <w:rPr>
                <w:rFonts w:hint="eastAsia"/>
                <w:b/>
                <w:color w:val="FF0000"/>
                <w:szCs w:val="24"/>
              </w:rPr>
              <w:t>5、村落污水处理站点主要内容</w:t>
            </w:r>
          </w:p>
          <w:p>
            <w:pPr>
              <w:pStyle w:val="2"/>
              <w:tabs>
                <w:tab w:val="left" w:pos="3930"/>
              </w:tabs>
              <w:kinsoku w:val="0"/>
              <w:overflowPunct w:val="0"/>
              <w:adjustRightInd w:val="0"/>
              <w:snapToGrid w:val="0"/>
              <w:spacing w:before="44" w:line="360" w:lineRule="auto"/>
              <w:ind w:right="108"/>
              <w:rPr>
                <w:b/>
                <w:color w:val="FF0000"/>
                <w:szCs w:val="24"/>
              </w:rPr>
            </w:pPr>
            <w:r>
              <w:rPr>
                <w:rFonts w:hint="eastAsia"/>
                <w:b/>
                <w:bCs/>
                <w:color w:val="FF0000"/>
                <w:sz w:val="21"/>
                <w:szCs w:val="16"/>
              </w:rPr>
              <w:t>表1-14  村落污水处理站点改扩建内容一览表表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72"/>
              <w:gridCol w:w="952"/>
              <w:gridCol w:w="1119"/>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b/>
                      <w:bCs/>
                      <w:color w:val="FF0000"/>
                      <w:sz w:val="21"/>
                      <w:szCs w:val="21"/>
                    </w:rPr>
                  </w:pPr>
                  <w:r>
                    <w:rPr>
                      <w:b/>
                      <w:bCs/>
                      <w:color w:val="FF0000"/>
                      <w:sz w:val="21"/>
                      <w:szCs w:val="21"/>
                    </w:rPr>
                    <w:t>序号</w:t>
                  </w:r>
                </w:p>
              </w:tc>
              <w:tc>
                <w:tcPr>
                  <w:tcW w:w="1072" w:type="dxa"/>
                  <w:vAlign w:val="center"/>
                </w:tcPr>
                <w:p>
                  <w:pPr>
                    <w:tabs>
                      <w:tab w:val="left" w:pos="417"/>
                      <w:tab w:val="left" w:pos="3615"/>
                    </w:tabs>
                    <w:jc w:val="center"/>
                    <w:rPr>
                      <w:b/>
                      <w:bCs/>
                      <w:color w:val="FF0000"/>
                      <w:sz w:val="21"/>
                      <w:szCs w:val="21"/>
                    </w:rPr>
                  </w:pPr>
                  <w:r>
                    <w:rPr>
                      <w:b/>
                      <w:bCs/>
                      <w:color w:val="FF0000"/>
                      <w:sz w:val="21"/>
                      <w:szCs w:val="21"/>
                    </w:rPr>
                    <w:t>站点名称</w:t>
                  </w:r>
                </w:p>
              </w:tc>
              <w:tc>
                <w:tcPr>
                  <w:tcW w:w="952" w:type="dxa"/>
                  <w:vAlign w:val="center"/>
                </w:tcPr>
                <w:p>
                  <w:pPr>
                    <w:tabs>
                      <w:tab w:val="left" w:pos="417"/>
                      <w:tab w:val="left" w:pos="3615"/>
                    </w:tabs>
                    <w:jc w:val="center"/>
                    <w:rPr>
                      <w:b/>
                      <w:bCs/>
                      <w:color w:val="FF0000"/>
                      <w:sz w:val="21"/>
                      <w:szCs w:val="21"/>
                    </w:rPr>
                  </w:pPr>
                  <w:r>
                    <w:rPr>
                      <w:b/>
                      <w:bCs/>
                      <w:color w:val="FF0000"/>
                      <w:sz w:val="21"/>
                      <w:szCs w:val="21"/>
                    </w:rPr>
                    <w:t>原设计规模</w:t>
                  </w:r>
                </w:p>
              </w:tc>
              <w:tc>
                <w:tcPr>
                  <w:tcW w:w="1119" w:type="dxa"/>
                  <w:vAlign w:val="center"/>
                </w:tcPr>
                <w:p>
                  <w:pPr>
                    <w:tabs>
                      <w:tab w:val="left" w:pos="417"/>
                      <w:tab w:val="left" w:pos="3615"/>
                    </w:tabs>
                    <w:jc w:val="center"/>
                    <w:rPr>
                      <w:b/>
                      <w:bCs/>
                      <w:color w:val="FF0000"/>
                      <w:sz w:val="21"/>
                      <w:szCs w:val="21"/>
                    </w:rPr>
                  </w:pPr>
                  <w:r>
                    <w:rPr>
                      <w:rFonts w:hint="eastAsia"/>
                      <w:b/>
                      <w:bCs/>
                      <w:color w:val="FF0000"/>
                      <w:sz w:val="21"/>
                      <w:szCs w:val="21"/>
                    </w:rPr>
                    <w:t>本次</w:t>
                  </w:r>
                  <w:r>
                    <w:rPr>
                      <w:b/>
                      <w:bCs/>
                      <w:color w:val="FF0000"/>
                      <w:sz w:val="21"/>
                      <w:szCs w:val="21"/>
                    </w:rPr>
                    <w:t>扩建规模</w:t>
                  </w:r>
                </w:p>
              </w:tc>
              <w:tc>
                <w:tcPr>
                  <w:tcW w:w="4781" w:type="dxa"/>
                  <w:vAlign w:val="center"/>
                </w:tcPr>
                <w:p>
                  <w:pPr>
                    <w:tabs>
                      <w:tab w:val="left" w:pos="417"/>
                      <w:tab w:val="left" w:pos="3615"/>
                    </w:tabs>
                    <w:jc w:val="center"/>
                    <w:rPr>
                      <w:b/>
                      <w:bCs/>
                      <w:color w:val="FF0000"/>
                      <w:sz w:val="21"/>
                      <w:szCs w:val="21"/>
                    </w:rPr>
                  </w:pPr>
                  <w:r>
                    <w:rPr>
                      <w:rFonts w:hint="eastAsia"/>
                      <w:b/>
                      <w:bCs/>
                      <w:color w:val="FF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1</w:t>
                  </w:r>
                </w:p>
              </w:tc>
              <w:tc>
                <w:tcPr>
                  <w:tcW w:w="1072" w:type="dxa"/>
                  <w:vAlign w:val="center"/>
                </w:tcPr>
                <w:p>
                  <w:pPr>
                    <w:tabs>
                      <w:tab w:val="left" w:pos="417"/>
                      <w:tab w:val="left" w:pos="3615"/>
                    </w:tabs>
                    <w:jc w:val="center"/>
                    <w:rPr>
                      <w:color w:val="FF0000"/>
                      <w:sz w:val="21"/>
                      <w:szCs w:val="21"/>
                    </w:rPr>
                  </w:pPr>
                  <w:r>
                    <w:rPr>
                      <w:color w:val="FF0000"/>
                      <w:sz w:val="21"/>
                      <w:szCs w:val="21"/>
                    </w:rPr>
                    <w:t>三营老厂</w:t>
                  </w:r>
                </w:p>
              </w:tc>
              <w:tc>
                <w:tcPr>
                  <w:tcW w:w="952" w:type="dxa"/>
                  <w:vAlign w:val="center"/>
                </w:tcPr>
                <w:p>
                  <w:pPr>
                    <w:tabs>
                      <w:tab w:val="left" w:pos="417"/>
                      <w:tab w:val="left" w:pos="3615"/>
                    </w:tabs>
                    <w:jc w:val="center"/>
                    <w:rPr>
                      <w:color w:val="FF0000"/>
                      <w:sz w:val="21"/>
                      <w:szCs w:val="21"/>
                    </w:rPr>
                  </w:pPr>
                  <w:r>
                    <w:rPr>
                      <w:color w:val="FF0000"/>
                      <w:sz w:val="21"/>
                      <w:szCs w:val="21"/>
                    </w:rPr>
                    <w:t>废弃状态</w:t>
                  </w:r>
                </w:p>
              </w:tc>
              <w:tc>
                <w:tcPr>
                  <w:tcW w:w="1119" w:type="dxa"/>
                  <w:vAlign w:val="center"/>
                </w:tcPr>
                <w:p>
                  <w:pPr>
                    <w:tabs>
                      <w:tab w:val="left" w:pos="417"/>
                      <w:tab w:val="left" w:pos="3615"/>
                    </w:tabs>
                    <w:jc w:val="center"/>
                    <w:rPr>
                      <w:color w:val="FF0000"/>
                      <w:sz w:val="21"/>
                      <w:szCs w:val="21"/>
                    </w:rPr>
                  </w:pPr>
                  <w:r>
                    <w:rPr>
                      <w:color w:val="FF0000"/>
                      <w:sz w:val="21"/>
                      <w:szCs w:val="21"/>
                    </w:rPr>
                    <w:t>300m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改扩建原有</w:t>
                  </w:r>
                  <w:r>
                    <w:rPr>
                      <w:color w:val="FF0000"/>
                      <w:sz w:val="21"/>
                      <w:szCs w:val="21"/>
                    </w:rPr>
                    <w:t>CWT</w:t>
                  </w:r>
                  <w:r>
                    <w:rPr>
                      <w:rFonts w:hint="eastAsia"/>
                      <w:color w:val="FF0000"/>
                      <w:sz w:val="21"/>
                      <w:szCs w:val="21"/>
                    </w:rPr>
                    <w:t>一体化设备，建成后处理规模为</w:t>
                  </w:r>
                  <w:r>
                    <w:rPr>
                      <w:color w:val="FF0000"/>
                      <w:sz w:val="21"/>
                      <w:szCs w:val="21"/>
                    </w:rPr>
                    <w:t>300m</w:t>
                  </w:r>
                  <w:r>
                    <w:rPr>
                      <w:color w:val="FF0000"/>
                      <w:sz w:val="21"/>
                      <w:szCs w:val="21"/>
                      <w:vertAlign w:val="superscript"/>
                    </w:rPr>
                    <w:t>3</w:t>
                  </w:r>
                  <w:r>
                    <w:rPr>
                      <w:color w:val="FF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2</w:t>
                  </w:r>
                </w:p>
              </w:tc>
              <w:tc>
                <w:tcPr>
                  <w:tcW w:w="1072" w:type="dxa"/>
                  <w:vAlign w:val="center"/>
                </w:tcPr>
                <w:p>
                  <w:pPr>
                    <w:tabs>
                      <w:tab w:val="left" w:pos="417"/>
                      <w:tab w:val="left" w:pos="3615"/>
                    </w:tabs>
                    <w:jc w:val="center"/>
                    <w:rPr>
                      <w:color w:val="FF0000"/>
                      <w:sz w:val="21"/>
                      <w:szCs w:val="21"/>
                    </w:rPr>
                  </w:pPr>
                  <w:r>
                    <w:rPr>
                      <w:color w:val="FF0000"/>
                      <w:sz w:val="21"/>
                      <w:szCs w:val="21"/>
                    </w:rPr>
                    <w:t>大涧村</w:t>
                  </w:r>
                </w:p>
              </w:tc>
              <w:tc>
                <w:tcPr>
                  <w:tcW w:w="952" w:type="dxa"/>
                  <w:vAlign w:val="center"/>
                </w:tcPr>
                <w:p>
                  <w:pPr>
                    <w:tabs>
                      <w:tab w:val="left" w:pos="417"/>
                      <w:tab w:val="left" w:pos="3615"/>
                    </w:tabs>
                    <w:jc w:val="center"/>
                    <w:rPr>
                      <w:color w:val="FF0000"/>
                      <w:sz w:val="21"/>
                      <w:szCs w:val="21"/>
                    </w:rPr>
                  </w:pPr>
                  <w:r>
                    <w:rPr>
                      <w:color w:val="FF0000"/>
                      <w:sz w:val="21"/>
                      <w:szCs w:val="21"/>
                    </w:rPr>
                    <w:t>/</w:t>
                  </w:r>
                </w:p>
              </w:tc>
              <w:tc>
                <w:tcPr>
                  <w:tcW w:w="1119" w:type="dxa"/>
                  <w:vAlign w:val="center"/>
                </w:tcPr>
                <w:p>
                  <w:pPr>
                    <w:tabs>
                      <w:tab w:val="left" w:pos="417"/>
                      <w:tab w:val="left" w:pos="3615"/>
                    </w:tabs>
                    <w:jc w:val="center"/>
                    <w:rPr>
                      <w:color w:val="FF0000"/>
                      <w:sz w:val="21"/>
                      <w:szCs w:val="21"/>
                    </w:rPr>
                  </w:pPr>
                  <w:r>
                    <w:rPr>
                      <w:color w:val="FF0000"/>
                      <w:sz w:val="21"/>
                      <w:szCs w:val="21"/>
                    </w:rPr>
                    <w:t>100m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新建一座处理规模为</w:t>
                  </w:r>
                  <w:r>
                    <w:rPr>
                      <w:color w:val="FF0000"/>
                      <w:sz w:val="21"/>
                      <w:szCs w:val="21"/>
                    </w:rPr>
                    <w:t>100m</w:t>
                  </w:r>
                  <w:r>
                    <w:rPr>
                      <w:color w:val="FF0000"/>
                      <w:sz w:val="21"/>
                      <w:szCs w:val="21"/>
                      <w:vertAlign w:val="superscript"/>
                    </w:rPr>
                    <w:t>3</w:t>
                  </w:r>
                  <w:r>
                    <w:rPr>
                      <w:color w:val="FF0000"/>
                      <w:sz w:val="21"/>
                      <w:szCs w:val="21"/>
                    </w:rPr>
                    <w:t>/dCWT站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3</w:t>
                  </w:r>
                </w:p>
              </w:tc>
              <w:tc>
                <w:tcPr>
                  <w:tcW w:w="1072" w:type="dxa"/>
                  <w:vAlign w:val="center"/>
                </w:tcPr>
                <w:p>
                  <w:pPr>
                    <w:tabs>
                      <w:tab w:val="left" w:pos="417"/>
                      <w:tab w:val="left" w:pos="3615"/>
                    </w:tabs>
                    <w:jc w:val="center"/>
                    <w:rPr>
                      <w:color w:val="FF0000"/>
                      <w:sz w:val="21"/>
                      <w:szCs w:val="21"/>
                    </w:rPr>
                  </w:pPr>
                  <w:r>
                    <w:rPr>
                      <w:color w:val="FF0000"/>
                      <w:sz w:val="21"/>
                      <w:szCs w:val="21"/>
                    </w:rPr>
                    <w:t>雪梨村</w:t>
                  </w:r>
                </w:p>
              </w:tc>
              <w:tc>
                <w:tcPr>
                  <w:tcW w:w="952" w:type="dxa"/>
                  <w:vAlign w:val="center"/>
                </w:tcPr>
                <w:p>
                  <w:pPr>
                    <w:tabs>
                      <w:tab w:val="left" w:pos="417"/>
                      <w:tab w:val="left" w:pos="3615"/>
                    </w:tabs>
                    <w:jc w:val="center"/>
                    <w:rPr>
                      <w:color w:val="FF0000"/>
                      <w:sz w:val="21"/>
                      <w:szCs w:val="21"/>
                    </w:rPr>
                  </w:pPr>
                  <w:r>
                    <w:rPr>
                      <w:color w:val="FF0000"/>
                      <w:sz w:val="21"/>
                      <w:szCs w:val="21"/>
                    </w:rPr>
                    <w:t>100m</w:t>
                  </w:r>
                  <w:r>
                    <w:rPr>
                      <w:color w:val="FF0000"/>
                      <w:sz w:val="21"/>
                      <w:szCs w:val="21"/>
                      <w:vertAlign w:val="superscript"/>
                    </w:rPr>
                    <w:t>3</w:t>
                  </w:r>
                  <w:r>
                    <w:rPr>
                      <w:color w:val="FF0000"/>
                      <w:sz w:val="21"/>
                      <w:szCs w:val="21"/>
                    </w:rPr>
                    <w:t>/d</w:t>
                  </w:r>
                </w:p>
              </w:tc>
              <w:tc>
                <w:tcPr>
                  <w:tcW w:w="1119" w:type="dxa"/>
                  <w:vAlign w:val="center"/>
                </w:tcPr>
                <w:p>
                  <w:pPr>
                    <w:tabs>
                      <w:tab w:val="left" w:pos="417"/>
                      <w:tab w:val="left" w:pos="3615"/>
                    </w:tabs>
                    <w:jc w:val="center"/>
                    <w:rPr>
                      <w:color w:val="FF0000"/>
                      <w:sz w:val="21"/>
                      <w:szCs w:val="21"/>
                    </w:rPr>
                  </w:pPr>
                  <w:r>
                    <w:rPr>
                      <w:color w:val="FF0000"/>
                      <w:sz w:val="21"/>
                      <w:szCs w:val="21"/>
                    </w:rPr>
                    <w:t>200m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将原有的CWT设备拆除，新建一座处理规模为</w:t>
                  </w:r>
                  <w:r>
                    <w:rPr>
                      <w:color w:val="FF0000"/>
                      <w:sz w:val="21"/>
                      <w:szCs w:val="21"/>
                    </w:rPr>
                    <w:t>200m</w:t>
                  </w:r>
                  <w:r>
                    <w:rPr>
                      <w:color w:val="FF0000"/>
                      <w:sz w:val="21"/>
                      <w:szCs w:val="21"/>
                      <w:vertAlign w:val="superscript"/>
                    </w:rPr>
                    <w:t>3</w:t>
                  </w:r>
                  <w:r>
                    <w:rPr>
                      <w:color w:val="FF0000"/>
                      <w:sz w:val="21"/>
                      <w:szCs w:val="21"/>
                    </w:rPr>
                    <w:t>/dCWT站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4</w:t>
                  </w:r>
                </w:p>
              </w:tc>
              <w:tc>
                <w:tcPr>
                  <w:tcW w:w="1072" w:type="dxa"/>
                  <w:vAlign w:val="center"/>
                </w:tcPr>
                <w:p>
                  <w:pPr>
                    <w:tabs>
                      <w:tab w:val="left" w:pos="417"/>
                      <w:tab w:val="left" w:pos="3615"/>
                    </w:tabs>
                    <w:jc w:val="center"/>
                    <w:rPr>
                      <w:color w:val="FF0000"/>
                      <w:sz w:val="21"/>
                      <w:szCs w:val="21"/>
                    </w:rPr>
                  </w:pPr>
                  <w:r>
                    <w:rPr>
                      <w:color w:val="FF0000"/>
                      <w:sz w:val="21"/>
                      <w:szCs w:val="21"/>
                    </w:rPr>
                    <w:t>草甲村</w:t>
                  </w:r>
                </w:p>
              </w:tc>
              <w:tc>
                <w:tcPr>
                  <w:tcW w:w="952" w:type="dxa"/>
                  <w:vAlign w:val="center"/>
                </w:tcPr>
                <w:p>
                  <w:pPr>
                    <w:tabs>
                      <w:tab w:val="left" w:pos="417"/>
                      <w:tab w:val="left" w:pos="3615"/>
                    </w:tabs>
                    <w:jc w:val="center"/>
                    <w:rPr>
                      <w:color w:val="FF0000"/>
                      <w:sz w:val="21"/>
                      <w:szCs w:val="21"/>
                    </w:rPr>
                  </w:pPr>
                  <w:r>
                    <w:rPr>
                      <w:color w:val="FF0000"/>
                      <w:sz w:val="21"/>
                      <w:szCs w:val="21"/>
                    </w:rPr>
                    <w:t>63m</w:t>
                  </w:r>
                  <w:r>
                    <w:rPr>
                      <w:color w:val="FF0000"/>
                      <w:sz w:val="21"/>
                      <w:szCs w:val="21"/>
                      <w:vertAlign w:val="superscript"/>
                    </w:rPr>
                    <w:t>3</w:t>
                  </w:r>
                  <w:r>
                    <w:rPr>
                      <w:color w:val="FF0000"/>
                      <w:sz w:val="21"/>
                      <w:szCs w:val="21"/>
                    </w:rPr>
                    <w:t>/d</w:t>
                  </w:r>
                </w:p>
              </w:tc>
              <w:tc>
                <w:tcPr>
                  <w:tcW w:w="1119" w:type="dxa"/>
                  <w:vAlign w:val="center"/>
                </w:tcPr>
                <w:p>
                  <w:pPr>
                    <w:tabs>
                      <w:tab w:val="left" w:pos="417"/>
                      <w:tab w:val="left" w:pos="3615"/>
                    </w:tabs>
                    <w:jc w:val="center"/>
                    <w:rPr>
                      <w:color w:val="FF0000"/>
                      <w:sz w:val="21"/>
                      <w:szCs w:val="21"/>
                    </w:rPr>
                  </w:pPr>
                  <w:r>
                    <w:rPr>
                      <w:color w:val="FF0000"/>
                      <w:sz w:val="21"/>
                      <w:szCs w:val="21"/>
                    </w:rPr>
                    <w:t>100m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利用雪梨村原有的CWT一体化设备进行改建，建成后处理规模为1</w:t>
                  </w:r>
                  <w:r>
                    <w:rPr>
                      <w:color w:val="FF0000"/>
                      <w:sz w:val="21"/>
                      <w:szCs w:val="21"/>
                    </w:rPr>
                    <w:t>00m</w:t>
                  </w:r>
                  <w:r>
                    <w:rPr>
                      <w:color w:val="FF0000"/>
                      <w:sz w:val="21"/>
                      <w:szCs w:val="21"/>
                      <w:vertAlign w:val="superscript"/>
                    </w:rPr>
                    <w:t>3</w:t>
                  </w:r>
                  <w:r>
                    <w:rPr>
                      <w:color w:val="FF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5</w:t>
                  </w:r>
                </w:p>
              </w:tc>
              <w:tc>
                <w:tcPr>
                  <w:tcW w:w="1072" w:type="dxa"/>
                  <w:vAlign w:val="center"/>
                </w:tcPr>
                <w:p>
                  <w:pPr>
                    <w:tabs>
                      <w:tab w:val="left" w:pos="417"/>
                      <w:tab w:val="left" w:pos="3615"/>
                    </w:tabs>
                    <w:jc w:val="center"/>
                    <w:rPr>
                      <w:color w:val="FF0000"/>
                      <w:sz w:val="21"/>
                      <w:szCs w:val="21"/>
                    </w:rPr>
                  </w:pPr>
                  <w:r>
                    <w:rPr>
                      <w:color w:val="FF0000"/>
                      <w:sz w:val="21"/>
                      <w:szCs w:val="21"/>
                    </w:rPr>
                    <w:t>下山口</w:t>
                  </w:r>
                </w:p>
              </w:tc>
              <w:tc>
                <w:tcPr>
                  <w:tcW w:w="952" w:type="dxa"/>
                  <w:vAlign w:val="center"/>
                </w:tcPr>
                <w:p>
                  <w:pPr>
                    <w:tabs>
                      <w:tab w:val="left" w:pos="417"/>
                      <w:tab w:val="left" w:pos="3615"/>
                    </w:tabs>
                    <w:jc w:val="center"/>
                    <w:rPr>
                      <w:color w:val="FF0000"/>
                      <w:sz w:val="21"/>
                      <w:szCs w:val="21"/>
                    </w:rPr>
                  </w:pPr>
                  <w:r>
                    <w:rPr>
                      <w:color w:val="FF0000"/>
                      <w:sz w:val="21"/>
                      <w:szCs w:val="21"/>
                    </w:rPr>
                    <w:t>300m</w:t>
                  </w:r>
                  <w:r>
                    <w:rPr>
                      <w:color w:val="FF0000"/>
                      <w:sz w:val="21"/>
                      <w:szCs w:val="21"/>
                      <w:vertAlign w:val="superscript"/>
                    </w:rPr>
                    <w:t>3</w:t>
                  </w:r>
                  <w:r>
                    <w:rPr>
                      <w:color w:val="FF0000"/>
                      <w:sz w:val="21"/>
                      <w:szCs w:val="21"/>
                    </w:rPr>
                    <w:t>/d</w:t>
                  </w:r>
                </w:p>
              </w:tc>
              <w:tc>
                <w:tcPr>
                  <w:tcW w:w="1119" w:type="dxa"/>
                  <w:vAlign w:val="center"/>
                </w:tcPr>
                <w:p>
                  <w:pPr>
                    <w:tabs>
                      <w:tab w:val="left" w:pos="417"/>
                      <w:tab w:val="left" w:pos="3615"/>
                    </w:tabs>
                    <w:jc w:val="center"/>
                    <w:rPr>
                      <w:color w:val="FF0000"/>
                      <w:sz w:val="21"/>
                      <w:szCs w:val="21"/>
                    </w:rPr>
                  </w:pPr>
                  <w:r>
                    <w:rPr>
                      <w:color w:val="FF0000"/>
                      <w:sz w:val="21"/>
                      <w:szCs w:val="21"/>
                    </w:rPr>
                    <w:t>800m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保留原有站点，在原有CWT站点旁边新增一座处理规模为500m</w:t>
                  </w:r>
                  <w:r>
                    <w:rPr>
                      <w:rFonts w:hint="eastAsia"/>
                      <w:color w:val="FF0000"/>
                      <w:sz w:val="21"/>
                      <w:szCs w:val="21"/>
                      <w:vertAlign w:val="superscript"/>
                    </w:rPr>
                    <w:t>3</w:t>
                  </w:r>
                  <w:r>
                    <w:rPr>
                      <w:rFonts w:hint="eastAsia"/>
                      <w:color w:val="FF0000"/>
                      <w:sz w:val="21"/>
                      <w:szCs w:val="21"/>
                    </w:rPr>
                    <w:t>/d的CWT污水处理站点，扩建后总处理规模为800m</w:t>
                  </w:r>
                  <w:r>
                    <w:rPr>
                      <w:rFonts w:hint="eastAsia"/>
                      <w:color w:val="FF0000"/>
                      <w:sz w:val="21"/>
                      <w:szCs w:val="21"/>
                      <w:vertAlign w:val="superscript"/>
                    </w:rPr>
                    <w:t>3</w:t>
                  </w:r>
                  <w:r>
                    <w:rPr>
                      <w:rFonts w:hint="eastAsia"/>
                      <w:color w:val="FF0000"/>
                      <w:sz w:val="21"/>
                      <w:szCs w:val="21"/>
                    </w:rPr>
                    <w:t>/d</w:t>
                  </w:r>
                </w:p>
              </w:tc>
            </w:tr>
          </w:tbl>
          <w:p>
            <w:pPr>
              <w:adjustRightInd w:val="0"/>
              <w:snapToGrid w:val="0"/>
              <w:spacing w:beforeLines="50" w:line="360" w:lineRule="auto"/>
              <w:ind w:firstLine="482" w:firstLineChars="200"/>
              <w:rPr>
                <w:b/>
                <w:szCs w:val="24"/>
              </w:rPr>
            </w:pPr>
            <w:r>
              <w:rPr>
                <w:rFonts w:hint="eastAsia"/>
                <w:b/>
                <w:szCs w:val="24"/>
              </w:rPr>
              <w:t>6、公用工程</w:t>
            </w:r>
          </w:p>
          <w:p>
            <w:pPr>
              <w:adjustRightInd w:val="0"/>
              <w:snapToGrid w:val="0"/>
              <w:spacing w:line="360" w:lineRule="auto"/>
              <w:ind w:firstLine="480" w:firstLineChars="200"/>
              <w:rPr>
                <w:bCs/>
                <w:szCs w:val="24"/>
              </w:rPr>
            </w:pPr>
            <w:r>
              <w:rPr>
                <w:bCs/>
                <w:szCs w:val="24"/>
              </w:rPr>
              <w:t>（1）变配电系统</w:t>
            </w:r>
          </w:p>
          <w:p>
            <w:pPr>
              <w:adjustRightInd w:val="0"/>
              <w:snapToGrid w:val="0"/>
              <w:spacing w:line="360" w:lineRule="auto"/>
              <w:ind w:firstLine="480" w:firstLineChars="200"/>
              <w:rPr>
                <w:bCs/>
                <w:szCs w:val="24"/>
              </w:rPr>
            </w:pPr>
            <w:r>
              <w:rPr>
                <w:bCs/>
                <w:szCs w:val="24"/>
              </w:rPr>
              <w:t>邓川、西湖污水处理厂原有125kVA变压器一座，提升改造后改为160kVA变压器；牛街污水处理厂提升改造新增设电力变压器1台SCB13-100kVA 10/0.4kV D. Yn11干式变压器。</w:t>
            </w:r>
          </w:p>
          <w:p>
            <w:pPr>
              <w:adjustRightInd w:val="0"/>
              <w:snapToGrid w:val="0"/>
              <w:spacing w:line="360" w:lineRule="auto"/>
              <w:ind w:firstLine="480" w:firstLineChars="200"/>
              <w:rPr>
                <w:bCs/>
                <w:szCs w:val="24"/>
              </w:rPr>
            </w:pPr>
            <w:r>
              <w:rPr>
                <w:bCs/>
                <w:szCs w:val="24"/>
              </w:rPr>
              <w:t>邓川、西湖污水处理厂提升改造后分别新增设3面低压配电箱，牛街污水处理厂提升改造后新增设配电柜8台，配电箱2台。0.4kV低压系统为厂区内全部用电设备提供电源和保护。</w:t>
            </w:r>
          </w:p>
          <w:p>
            <w:pPr>
              <w:adjustRightInd w:val="0"/>
              <w:snapToGrid w:val="0"/>
              <w:spacing w:line="360" w:lineRule="auto"/>
              <w:ind w:firstLine="480" w:firstLineChars="200"/>
              <w:rPr>
                <w:bCs/>
                <w:szCs w:val="24"/>
              </w:rPr>
            </w:pPr>
            <w:r>
              <w:rPr>
                <w:szCs w:val="24"/>
              </w:rPr>
              <w:t>（2）防雷、接地系统</w:t>
            </w:r>
          </w:p>
          <w:p>
            <w:pPr>
              <w:adjustRightInd w:val="0"/>
              <w:snapToGrid w:val="0"/>
              <w:spacing w:line="360" w:lineRule="auto"/>
              <w:ind w:firstLine="480" w:firstLineChars="200"/>
              <w:rPr>
                <w:bCs/>
                <w:szCs w:val="24"/>
              </w:rPr>
            </w:pPr>
            <w:r>
              <w:rPr>
                <w:bCs/>
                <w:szCs w:val="24"/>
              </w:rPr>
              <w:t>本工程低压配电系统采用TN-S系统。变电站变压器工作接地和电气系统保护接地共用接地装置，其接地电阻不大于1欧姆。上述接地均接至室外接地网，连成一体，接地电阻不大于1欧姆。</w:t>
            </w:r>
          </w:p>
          <w:p>
            <w:pPr>
              <w:adjustRightInd w:val="0"/>
              <w:snapToGrid w:val="0"/>
              <w:spacing w:line="360" w:lineRule="auto"/>
              <w:ind w:firstLine="480" w:firstLineChars="200"/>
              <w:rPr>
                <w:bCs/>
                <w:szCs w:val="24"/>
              </w:rPr>
            </w:pPr>
            <w:r>
              <w:rPr>
                <w:bCs/>
                <w:szCs w:val="24"/>
              </w:rPr>
              <w:t>（3）自控系统</w:t>
            </w:r>
          </w:p>
          <w:p>
            <w:pPr>
              <w:adjustRightInd w:val="0"/>
              <w:snapToGrid w:val="0"/>
              <w:spacing w:line="360" w:lineRule="auto"/>
              <w:ind w:firstLine="480" w:firstLineChars="200"/>
              <w:rPr>
                <w:bCs/>
                <w:szCs w:val="24"/>
              </w:rPr>
            </w:pPr>
            <w:r>
              <w:rPr>
                <w:bCs/>
                <w:szCs w:val="24"/>
              </w:rPr>
              <w:t>配合计算机自控系统，在全厂各个工艺流程设置了与工艺流程适应的必要参数检测仪表系统，检测信号先送到现场子站，通过总线通讯送到中心控制室监控管理计算机。</w:t>
            </w:r>
          </w:p>
          <w:p>
            <w:pPr>
              <w:adjustRightInd w:val="0"/>
              <w:snapToGrid w:val="0"/>
              <w:spacing w:line="360" w:lineRule="auto"/>
              <w:ind w:firstLine="480" w:firstLineChars="200"/>
              <w:rPr>
                <w:bCs/>
                <w:szCs w:val="24"/>
              </w:rPr>
            </w:pPr>
            <w:r>
              <w:rPr>
                <w:bCs/>
                <w:szCs w:val="24"/>
              </w:rPr>
              <w:t>（4）通</w:t>
            </w:r>
            <w:r>
              <w:rPr>
                <w:rFonts w:hint="eastAsia"/>
                <w:bCs/>
                <w:szCs w:val="24"/>
              </w:rPr>
              <w:t>风</w:t>
            </w:r>
            <w:r>
              <w:rPr>
                <w:bCs/>
                <w:szCs w:val="24"/>
              </w:rPr>
              <w:t>系统</w:t>
            </w:r>
          </w:p>
          <w:p>
            <w:pPr>
              <w:adjustRightInd w:val="0"/>
              <w:snapToGrid w:val="0"/>
              <w:spacing w:line="360" w:lineRule="auto"/>
              <w:ind w:firstLine="480" w:firstLineChars="200"/>
              <w:rPr>
                <w:bCs/>
                <w:szCs w:val="24"/>
              </w:rPr>
            </w:pPr>
            <w:r>
              <w:rPr>
                <w:bCs/>
                <w:szCs w:val="24"/>
              </w:rPr>
              <w:t>本工程建筑物需要设计通风的有：格栅间及预处理水池、设备间。</w:t>
            </w:r>
          </w:p>
          <w:p>
            <w:pPr>
              <w:adjustRightInd w:val="0"/>
              <w:snapToGrid w:val="0"/>
              <w:spacing w:line="360" w:lineRule="auto"/>
              <w:ind w:firstLine="480" w:firstLineChars="200"/>
              <w:rPr>
                <w:bCs/>
                <w:szCs w:val="24"/>
              </w:rPr>
            </w:pPr>
            <w:r>
              <w:rPr>
                <w:bCs/>
                <w:szCs w:val="24"/>
              </w:rPr>
              <w:t>设备间设置机械通风，通风量按照消除设备工作时产生的余热量计算，换气次数不小于6次/时。</w:t>
            </w:r>
          </w:p>
          <w:p>
            <w:pPr>
              <w:adjustRightInd w:val="0"/>
              <w:snapToGrid w:val="0"/>
              <w:spacing w:line="360" w:lineRule="auto"/>
              <w:ind w:firstLine="480" w:firstLineChars="200"/>
              <w:rPr>
                <w:bCs/>
                <w:szCs w:val="24"/>
              </w:rPr>
            </w:pPr>
            <w:r>
              <w:rPr>
                <w:bCs/>
                <w:szCs w:val="24"/>
              </w:rPr>
              <w:t>格栅间及预处理水池的通风系统以自然通风为主，当自然通风满足不了要求时，设置机械通风。</w:t>
            </w:r>
          </w:p>
          <w:p>
            <w:pPr>
              <w:adjustRightInd w:val="0"/>
              <w:snapToGrid w:val="0"/>
              <w:spacing w:line="360" w:lineRule="auto"/>
              <w:ind w:firstLine="480" w:firstLineChars="200"/>
              <w:rPr>
                <w:bCs/>
                <w:szCs w:val="24"/>
              </w:rPr>
            </w:pPr>
            <w:r>
              <w:rPr>
                <w:bCs/>
                <w:szCs w:val="24"/>
              </w:rPr>
              <w:t>排风系统用于排除余热、余湿以及排除除臭工艺中可能溢出的异味。送风系统用于补充排出的气体，改善空间空气质量。通风系统的补风采用自然送风，送风量按排风量的80%计算。风机的噪声控制应符合《工业企业噪声控制设计规范》（GB/T50087-2013）的规定。</w:t>
            </w:r>
          </w:p>
          <w:p>
            <w:pPr>
              <w:adjustRightInd w:val="0"/>
              <w:snapToGrid w:val="0"/>
              <w:spacing w:line="360" w:lineRule="auto"/>
              <w:ind w:firstLine="482" w:firstLineChars="200"/>
              <w:rPr>
                <w:b/>
                <w:color w:val="FF0000"/>
                <w:szCs w:val="24"/>
              </w:rPr>
            </w:pPr>
            <w:r>
              <w:rPr>
                <w:b/>
                <w:color w:val="FF0000"/>
                <w:szCs w:val="24"/>
              </w:rPr>
              <w:t>7、项目污水处理厂主要原辅材料及耗能</w:t>
            </w:r>
          </w:p>
          <w:p>
            <w:pPr>
              <w:autoSpaceDE w:val="0"/>
              <w:autoSpaceDN w:val="0"/>
              <w:snapToGrid w:val="0"/>
              <w:spacing w:line="360" w:lineRule="auto"/>
              <w:ind w:right="89" w:rightChars="37"/>
              <w:jc w:val="center"/>
              <w:rPr>
                <w:b/>
                <w:bCs/>
                <w:sz w:val="21"/>
                <w:szCs w:val="21"/>
              </w:rPr>
            </w:pPr>
            <w:r>
              <w:rPr>
                <w:b/>
                <w:bCs/>
                <w:sz w:val="21"/>
                <w:szCs w:val="21"/>
              </w:rPr>
              <w:t xml:space="preserve">表1-15 项目原辅材料及能源消耗情况一览表  </w:t>
            </w:r>
            <w:r>
              <w:rPr>
                <w:b/>
                <w:bCs/>
              </w:rPr>
              <w:t>单位：</w:t>
            </w:r>
            <w:r>
              <w:t>t/a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65"/>
              <w:gridCol w:w="753"/>
              <w:gridCol w:w="4551"/>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autoSpaceDE w:val="0"/>
                    <w:autoSpaceDN w:val="0"/>
                    <w:ind w:right="89" w:rightChars="37"/>
                    <w:rPr>
                      <w:b/>
                      <w:bCs/>
                      <w:sz w:val="21"/>
                      <w:szCs w:val="21"/>
                    </w:rPr>
                  </w:pPr>
                  <w:r>
                    <w:rPr>
                      <w:b/>
                      <w:bCs/>
                      <w:sz w:val="21"/>
                      <w:szCs w:val="21"/>
                    </w:rPr>
                    <w:t>项目</w:t>
                  </w:r>
                </w:p>
              </w:tc>
              <w:tc>
                <w:tcPr>
                  <w:tcW w:w="1165" w:type="dxa"/>
                  <w:vAlign w:val="center"/>
                </w:tcPr>
                <w:p>
                  <w:pPr>
                    <w:autoSpaceDE w:val="0"/>
                    <w:autoSpaceDN w:val="0"/>
                    <w:ind w:right="89" w:rightChars="37"/>
                    <w:jc w:val="center"/>
                    <w:rPr>
                      <w:b/>
                      <w:bCs/>
                      <w:sz w:val="21"/>
                      <w:szCs w:val="21"/>
                    </w:rPr>
                  </w:pPr>
                  <w:r>
                    <w:rPr>
                      <w:b/>
                      <w:bCs/>
                      <w:sz w:val="21"/>
                      <w:szCs w:val="21"/>
                    </w:rPr>
                    <w:t>名称</w:t>
                  </w:r>
                </w:p>
              </w:tc>
              <w:tc>
                <w:tcPr>
                  <w:tcW w:w="753" w:type="dxa"/>
                  <w:vAlign w:val="center"/>
                </w:tcPr>
                <w:p>
                  <w:pPr>
                    <w:autoSpaceDE w:val="0"/>
                    <w:autoSpaceDN w:val="0"/>
                    <w:ind w:right="89" w:rightChars="37"/>
                    <w:jc w:val="center"/>
                    <w:rPr>
                      <w:b/>
                      <w:bCs/>
                      <w:sz w:val="21"/>
                      <w:szCs w:val="21"/>
                    </w:rPr>
                  </w:pPr>
                  <w:r>
                    <w:rPr>
                      <w:b/>
                      <w:bCs/>
                      <w:sz w:val="21"/>
                      <w:szCs w:val="21"/>
                    </w:rPr>
                    <w:t>用量</w:t>
                  </w:r>
                </w:p>
              </w:tc>
              <w:tc>
                <w:tcPr>
                  <w:tcW w:w="4551" w:type="dxa"/>
                  <w:vAlign w:val="center"/>
                </w:tcPr>
                <w:p>
                  <w:pPr>
                    <w:autoSpaceDE w:val="0"/>
                    <w:autoSpaceDN w:val="0"/>
                    <w:ind w:right="89" w:rightChars="37"/>
                    <w:jc w:val="center"/>
                    <w:rPr>
                      <w:b/>
                      <w:bCs/>
                      <w:sz w:val="21"/>
                      <w:szCs w:val="21"/>
                    </w:rPr>
                  </w:pPr>
                  <w:r>
                    <w:rPr>
                      <w:b/>
                      <w:bCs/>
                      <w:sz w:val="21"/>
                      <w:szCs w:val="21"/>
                    </w:rPr>
                    <w:t>用途</w:t>
                  </w:r>
                </w:p>
              </w:tc>
              <w:tc>
                <w:tcPr>
                  <w:tcW w:w="1376" w:type="dxa"/>
                  <w:vAlign w:val="center"/>
                </w:tcPr>
                <w:p>
                  <w:pPr>
                    <w:autoSpaceDE w:val="0"/>
                    <w:autoSpaceDN w:val="0"/>
                    <w:ind w:right="89" w:rightChars="37"/>
                    <w:jc w:val="center"/>
                    <w:rPr>
                      <w:b/>
                      <w:bCs/>
                      <w:sz w:val="21"/>
                      <w:szCs w:val="21"/>
                    </w:rPr>
                  </w:pPr>
                  <w:r>
                    <w:rPr>
                      <w:b/>
                      <w:bCs/>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pPr>
                    <w:autoSpaceDE w:val="0"/>
                    <w:autoSpaceDN w:val="0"/>
                    <w:ind w:right="89" w:rightChars="37"/>
                    <w:jc w:val="center"/>
                    <w:rPr>
                      <w:sz w:val="21"/>
                      <w:szCs w:val="21"/>
                    </w:rPr>
                  </w:pPr>
                  <w:r>
                    <w:rPr>
                      <w:sz w:val="21"/>
                      <w:szCs w:val="21"/>
                    </w:rPr>
                    <w:t>邓川污水厂</w:t>
                  </w:r>
                </w:p>
              </w:tc>
              <w:tc>
                <w:tcPr>
                  <w:tcW w:w="1165" w:type="dxa"/>
                  <w:vAlign w:val="center"/>
                </w:tcPr>
                <w:p>
                  <w:pPr>
                    <w:autoSpaceDE w:val="0"/>
                    <w:autoSpaceDN w:val="0"/>
                    <w:ind w:right="89" w:rightChars="37"/>
                    <w:jc w:val="center"/>
                    <w:rPr>
                      <w:sz w:val="21"/>
                      <w:szCs w:val="21"/>
                    </w:rPr>
                  </w:pPr>
                  <w:r>
                    <w:rPr>
                      <w:sz w:val="21"/>
                      <w:szCs w:val="21"/>
                    </w:rPr>
                    <w:t>聚铁</w:t>
                  </w:r>
                </w:p>
              </w:tc>
              <w:tc>
                <w:tcPr>
                  <w:tcW w:w="753" w:type="dxa"/>
                  <w:vAlign w:val="center"/>
                </w:tcPr>
                <w:p>
                  <w:pPr>
                    <w:autoSpaceDE w:val="0"/>
                    <w:autoSpaceDN w:val="0"/>
                    <w:ind w:right="89" w:rightChars="37"/>
                    <w:jc w:val="center"/>
                    <w:rPr>
                      <w:sz w:val="21"/>
                      <w:szCs w:val="21"/>
                    </w:rPr>
                  </w:pPr>
                  <w:r>
                    <w:rPr>
                      <w:sz w:val="21"/>
                      <w:szCs w:val="21"/>
                    </w:rPr>
                    <w:t>725</w:t>
                  </w:r>
                </w:p>
              </w:tc>
              <w:tc>
                <w:tcPr>
                  <w:tcW w:w="4551" w:type="dxa"/>
                  <w:vAlign w:val="center"/>
                </w:tcPr>
                <w:p>
                  <w:pPr>
                    <w:autoSpaceDE w:val="0"/>
                    <w:autoSpaceDN w:val="0"/>
                    <w:ind w:right="89" w:rightChars="37"/>
                    <w:rPr>
                      <w:sz w:val="21"/>
                      <w:szCs w:val="21"/>
                    </w:rPr>
                  </w:pPr>
                  <w:r>
                    <w:rPr>
                      <w:rFonts w:hint="eastAsia"/>
                      <w:sz w:val="21"/>
                      <w:szCs w:val="21"/>
                    </w:rPr>
                    <w:t>生物处理阶段投加，提高</w:t>
                  </w:r>
                  <w:r>
                    <w:rPr>
                      <w:sz w:val="21"/>
                      <w:szCs w:val="21"/>
                    </w:rPr>
                    <w:t>磷</w:t>
                  </w:r>
                  <w:r>
                    <w:rPr>
                      <w:rFonts w:hint="eastAsia"/>
                      <w:sz w:val="21"/>
                      <w:szCs w:val="21"/>
                    </w:rPr>
                    <w:t>的去</w:t>
                  </w:r>
                  <w:r>
                    <w:rPr>
                      <w:sz w:val="21"/>
                      <w:szCs w:val="21"/>
                    </w:rPr>
                    <w:t>除</w:t>
                  </w:r>
                  <w:r>
                    <w:rPr>
                      <w:rFonts w:hint="eastAsia"/>
                      <w:sz w:val="21"/>
                      <w:szCs w:val="21"/>
                    </w:rPr>
                    <w:t>效果</w:t>
                  </w:r>
                </w:p>
              </w:tc>
              <w:tc>
                <w:tcPr>
                  <w:tcW w:w="1376" w:type="dxa"/>
                  <w:vMerge w:val="restart"/>
                  <w:vAlign w:val="center"/>
                </w:tcPr>
                <w:p>
                  <w:pPr>
                    <w:autoSpaceDE w:val="0"/>
                    <w:autoSpaceDN w:val="0"/>
                    <w:ind w:right="89" w:rightChars="37"/>
                    <w:jc w:val="center"/>
                    <w:rPr>
                      <w:sz w:val="21"/>
                      <w:szCs w:val="21"/>
                    </w:rPr>
                  </w:pPr>
                  <w:r>
                    <w:rPr>
                      <w:rFonts w:hint="eastAsia"/>
                      <w:sz w:val="21"/>
                      <w:szCs w:val="21"/>
                    </w:rPr>
                    <w:t>由碧水源总公司统一购买后分发到各个污水厂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次氯酸钠</w:t>
                  </w:r>
                </w:p>
              </w:tc>
              <w:tc>
                <w:tcPr>
                  <w:tcW w:w="753" w:type="dxa"/>
                  <w:vAlign w:val="center"/>
                </w:tcPr>
                <w:p>
                  <w:pPr>
                    <w:autoSpaceDE w:val="0"/>
                    <w:autoSpaceDN w:val="0"/>
                    <w:ind w:right="89" w:rightChars="37"/>
                    <w:jc w:val="center"/>
                    <w:rPr>
                      <w:sz w:val="21"/>
                      <w:szCs w:val="21"/>
                    </w:rPr>
                  </w:pPr>
                  <w:r>
                    <w:rPr>
                      <w:sz w:val="21"/>
                      <w:szCs w:val="21"/>
                    </w:rPr>
                    <w:t>460</w:t>
                  </w:r>
                </w:p>
              </w:tc>
              <w:tc>
                <w:tcPr>
                  <w:tcW w:w="4551" w:type="dxa"/>
                  <w:vAlign w:val="center"/>
                </w:tcPr>
                <w:p>
                  <w:pPr>
                    <w:autoSpaceDE w:val="0"/>
                    <w:autoSpaceDN w:val="0"/>
                    <w:ind w:right="89" w:rightChars="37"/>
                    <w:jc w:val="center"/>
                    <w:rPr>
                      <w:sz w:val="21"/>
                      <w:szCs w:val="21"/>
                    </w:rPr>
                  </w:pPr>
                  <w:r>
                    <w:rPr>
                      <w:rFonts w:hint="eastAsia"/>
                      <w:sz w:val="21"/>
                      <w:szCs w:val="21"/>
                    </w:rPr>
                    <w:t>消毒剂，用于</w:t>
                  </w:r>
                  <w:r>
                    <w:rPr>
                      <w:sz w:val="21"/>
                      <w:szCs w:val="21"/>
                    </w:rPr>
                    <w:t>出水消毒</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乙酸钠</w:t>
                  </w:r>
                </w:p>
              </w:tc>
              <w:tc>
                <w:tcPr>
                  <w:tcW w:w="753" w:type="dxa"/>
                  <w:vAlign w:val="center"/>
                </w:tcPr>
                <w:p>
                  <w:pPr>
                    <w:autoSpaceDE w:val="0"/>
                    <w:autoSpaceDN w:val="0"/>
                    <w:ind w:right="89" w:rightChars="37"/>
                    <w:jc w:val="center"/>
                    <w:rPr>
                      <w:sz w:val="21"/>
                      <w:szCs w:val="21"/>
                    </w:rPr>
                  </w:pPr>
                  <w:r>
                    <w:rPr>
                      <w:sz w:val="21"/>
                      <w:szCs w:val="21"/>
                    </w:rPr>
                    <w:t>700</w:t>
                  </w:r>
                </w:p>
              </w:tc>
              <w:tc>
                <w:tcPr>
                  <w:tcW w:w="4551" w:type="dxa"/>
                  <w:vAlign w:val="center"/>
                </w:tcPr>
                <w:p>
                  <w:pPr>
                    <w:autoSpaceDE w:val="0"/>
                    <w:autoSpaceDN w:val="0"/>
                    <w:ind w:right="89" w:rightChars="37"/>
                    <w:jc w:val="center"/>
                    <w:rPr>
                      <w:sz w:val="21"/>
                      <w:szCs w:val="21"/>
                    </w:rPr>
                  </w:pPr>
                  <w:r>
                    <w:rPr>
                      <w:rFonts w:hint="eastAsia"/>
                      <w:sz w:val="21"/>
                      <w:szCs w:val="21"/>
                    </w:rPr>
                    <w:t>生物处理阶段投加，作为</w:t>
                  </w:r>
                  <w:r>
                    <w:rPr>
                      <w:sz w:val="21"/>
                      <w:szCs w:val="21"/>
                    </w:rPr>
                    <w:t>外加碳源，</w:t>
                  </w:r>
                  <w:r>
                    <w:rPr>
                      <w:rFonts w:hint="eastAsia"/>
                      <w:sz w:val="21"/>
                      <w:szCs w:val="21"/>
                    </w:rPr>
                    <w:t>提高</w:t>
                  </w:r>
                  <w:r>
                    <w:rPr>
                      <w:sz w:val="21"/>
                      <w:szCs w:val="21"/>
                    </w:rPr>
                    <w:t>氮</w:t>
                  </w:r>
                  <w:r>
                    <w:rPr>
                      <w:rFonts w:hint="eastAsia"/>
                      <w:sz w:val="21"/>
                      <w:szCs w:val="21"/>
                    </w:rPr>
                    <w:t>的去处效果</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PAM</w:t>
                  </w:r>
                </w:p>
              </w:tc>
              <w:tc>
                <w:tcPr>
                  <w:tcW w:w="753" w:type="dxa"/>
                  <w:vAlign w:val="center"/>
                </w:tcPr>
                <w:p>
                  <w:pPr>
                    <w:autoSpaceDE w:val="0"/>
                    <w:autoSpaceDN w:val="0"/>
                    <w:ind w:right="89" w:rightChars="37"/>
                    <w:jc w:val="center"/>
                    <w:rPr>
                      <w:sz w:val="21"/>
                      <w:szCs w:val="21"/>
                    </w:rPr>
                  </w:pPr>
                  <w:r>
                    <w:rPr>
                      <w:sz w:val="21"/>
                      <w:szCs w:val="21"/>
                    </w:rPr>
                    <w:t>6</w:t>
                  </w:r>
                </w:p>
              </w:tc>
              <w:tc>
                <w:tcPr>
                  <w:tcW w:w="4551" w:type="dxa"/>
                  <w:vAlign w:val="center"/>
                </w:tcPr>
                <w:p>
                  <w:pPr>
                    <w:autoSpaceDE w:val="0"/>
                    <w:autoSpaceDN w:val="0"/>
                    <w:ind w:right="89" w:rightChars="37"/>
                    <w:jc w:val="center"/>
                    <w:rPr>
                      <w:sz w:val="21"/>
                      <w:szCs w:val="21"/>
                    </w:rPr>
                  </w:pPr>
                  <w:r>
                    <w:rPr>
                      <w:rFonts w:hint="eastAsia"/>
                      <w:sz w:val="21"/>
                      <w:szCs w:val="21"/>
                    </w:rPr>
                    <w:t>作为脱水剂，用于对</w:t>
                  </w:r>
                  <w:r>
                    <w:rPr>
                      <w:sz w:val="21"/>
                      <w:szCs w:val="21"/>
                    </w:rPr>
                    <w:t>污泥脱水</w:t>
                  </w:r>
                  <w:r>
                    <w:rPr>
                      <w:rFonts w:hint="eastAsia"/>
                      <w:sz w:val="21"/>
                      <w:szCs w:val="21"/>
                    </w:rPr>
                    <w:t>前剩余污泥的调理</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pPr>
                    <w:autoSpaceDE w:val="0"/>
                    <w:autoSpaceDN w:val="0"/>
                    <w:ind w:right="89" w:rightChars="37"/>
                    <w:jc w:val="center"/>
                    <w:rPr>
                      <w:sz w:val="21"/>
                      <w:szCs w:val="21"/>
                    </w:rPr>
                  </w:pPr>
                  <w:r>
                    <w:rPr>
                      <w:sz w:val="21"/>
                      <w:szCs w:val="21"/>
                    </w:rPr>
                    <w:t>右所污水厂</w:t>
                  </w:r>
                </w:p>
              </w:tc>
              <w:tc>
                <w:tcPr>
                  <w:tcW w:w="1165" w:type="dxa"/>
                  <w:vAlign w:val="center"/>
                </w:tcPr>
                <w:p>
                  <w:pPr>
                    <w:autoSpaceDE w:val="0"/>
                    <w:autoSpaceDN w:val="0"/>
                    <w:ind w:right="89" w:rightChars="37"/>
                    <w:jc w:val="center"/>
                    <w:rPr>
                      <w:sz w:val="21"/>
                      <w:szCs w:val="21"/>
                    </w:rPr>
                  </w:pPr>
                  <w:r>
                    <w:rPr>
                      <w:sz w:val="21"/>
                      <w:szCs w:val="21"/>
                    </w:rPr>
                    <w:t>聚铁</w:t>
                  </w:r>
                </w:p>
              </w:tc>
              <w:tc>
                <w:tcPr>
                  <w:tcW w:w="753" w:type="dxa"/>
                  <w:vAlign w:val="center"/>
                </w:tcPr>
                <w:p>
                  <w:pPr>
                    <w:autoSpaceDE w:val="0"/>
                    <w:autoSpaceDN w:val="0"/>
                    <w:ind w:right="89" w:rightChars="37"/>
                    <w:jc w:val="center"/>
                    <w:rPr>
                      <w:sz w:val="21"/>
                      <w:szCs w:val="21"/>
                    </w:rPr>
                  </w:pPr>
                  <w:r>
                    <w:rPr>
                      <w:sz w:val="21"/>
                      <w:szCs w:val="21"/>
                    </w:rPr>
                    <w:t>300</w:t>
                  </w:r>
                </w:p>
              </w:tc>
              <w:tc>
                <w:tcPr>
                  <w:tcW w:w="4551" w:type="dxa"/>
                  <w:vAlign w:val="center"/>
                </w:tcPr>
                <w:p>
                  <w:pPr>
                    <w:autoSpaceDE w:val="0"/>
                    <w:autoSpaceDN w:val="0"/>
                    <w:ind w:right="89" w:rightChars="37"/>
                    <w:rPr>
                      <w:sz w:val="21"/>
                      <w:szCs w:val="21"/>
                    </w:rPr>
                  </w:pPr>
                  <w:r>
                    <w:rPr>
                      <w:rFonts w:hint="eastAsia"/>
                      <w:sz w:val="21"/>
                      <w:szCs w:val="21"/>
                    </w:rPr>
                    <w:t>生物处理阶段投加，提高</w:t>
                  </w:r>
                  <w:r>
                    <w:rPr>
                      <w:sz w:val="21"/>
                      <w:szCs w:val="21"/>
                    </w:rPr>
                    <w:t>磷</w:t>
                  </w:r>
                  <w:r>
                    <w:rPr>
                      <w:rFonts w:hint="eastAsia"/>
                      <w:sz w:val="21"/>
                      <w:szCs w:val="21"/>
                    </w:rPr>
                    <w:t>的去</w:t>
                  </w:r>
                  <w:r>
                    <w:rPr>
                      <w:sz w:val="21"/>
                      <w:szCs w:val="21"/>
                    </w:rPr>
                    <w:t>除</w:t>
                  </w:r>
                  <w:r>
                    <w:rPr>
                      <w:rFonts w:hint="eastAsia"/>
                      <w:sz w:val="21"/>
                      <w:szCs w:val="21"/>
                    </w:rPr>
                    <w:t>效果</w:t>
                  </w:r>
                </w:p>
              </w:tc>
              <w:tc>
                <w:tcPr>
                  <w:tcW w:w="1376" w:type="dxa"/>
                  <w:vMerge w:val="restart"/>
                  <w:vAlign w:val="center"/>
                </w:tcPr>
                <w:p>
                  <w:pPr>
                    <w:autoSpaceDE w:val="0"/>
                    <w:autoSpaceDN w:val="0"/>
                    <w:ind w:right="89" w:rightChars="37"/>
                    <w:jc w:val="center"/>
                    <w:rPr>
                      <w:sz w:val="21"/>
                      <w:szCs w:val="21"/>
                    </w:rPr>
                  </w:pPr>
                  <w:r>
                    <w:rPr>
                      <w:rFonts w:hint="eastAsia"/>
                      <w:sz w:val="21"/>
                      <w:szCs w:val="21"/>
                    </w:rPr>
                    <w:t>由碧水源总公司统一购买后分发到各个污水厂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次氯酸钠</w:t>
                  </w:r>
                </w:p>
              </w:tc>
              <w:tc>
                <w:tcPr>
                  <w:tcW w:w="753" w:type="dxa"/>
                  <w:vAlign w:val="center"/>
                </w:tcPr>
                <w:p>
                  <w:pPr>
                    <w:autoSpaceDE w:val="0"/>
                    <w:autoSpaceDN w:val="0"/>
                    <w:ind w:right="89" w:rightChars="37"/>
                    <w:jc w:val="center"/>
                    <w:rPr>
                      <w:sz w:val="21"/>
                      <w:szCs w:val="21"/>
                    </w:rPr>
                  </w:pPr>
                  <w:r>
                    <w:rPr>
                      <w:sz w:val="21"/>
                      <w:szCs w:val="21"/>
                    </w:rPr>
                    <w:t>460</w:t>
                  </w:r>
                </w:p>
              </w:tc>
              <w:tc>
                <w:tcPr>
                  <w:tcW w:w="4551" w:type="dxa"/>
                  <w:vAlign w:val="center"/>
                </w:tcPr>
                <w:p>
                  <w:pPr>
                    <w:autoSpaceDE w:val="0"/>
                    <w:autoSpaceDN w:val="0"/>
                    <w:ind w:right="89" w:rightChars="37"/>
                    <w:jc w:val="center"/>
                    <w:rPr>
                      <w:sz w:val="21"/>
                      <w:szCs w:val="21"/>
                    </w:rPr>
                  </w:pPr>
                  <w:r>
                    <w:rPr>
                      <w:rFonts w:hint="eastAsia"/>
                      <w:sz w:val="21"/>
                      <w:szCs w:val="21"/>
                    </w:rPr>
                    <w:t>消毒剂，用于</w:t>
                  </w:r>
                  <w:r>
                    <w:rPr>
                      <w:sz w:val="21"/>
                      <w:szCs w:val="21"/>
                    </w:rPr>
                    <w:t>出水消毒</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乙酸钠</w:t>
                  </w:r>
                </w:p>
              </w:tc>
              <w:tc>
                <w:tcPr>
                  <w:tcW w:w="753" w:type="dxa"/>
                  <w:vAlign w:val="center"/>
                </w:tcPr>
                <w:p>
                  <w:pPr>
                    <w:autoSpaceDE w:val="0"/>
                    <w:autoSpaceDN w:val="0"/>
                    <w:ind w:right="89" w:rightChars="37"/>
                    <w:jc w:val="center"/>
                    <w:rPr>
                      <w:sz w:val="21"/>
                      <w:szCs w:val="21"/>
                    </w:rPr>
                  </w:pPr>
                  <w:r>
                    <w:rPr>
                      <w:sz w:val="21"/>
                      <w:szCs w:val="21"/>
                    </w:rPr>
                    <w:t>350</w:t>
                  </w:r>
                </w:p>
              </w:tc>
              <w:tc>
                <w:tcPr>
                  <w:tcW w:w="4551" w:type="dxa"/>
                  <w:vAlign w:val="center"/>
                </w:tcPr>
                <w:p>
                  <w:pPr>
                    <w:autoSpaceDE w:val="0"/>
                    <w:autoSpaceDN w:val="0"/>
                    <w:ind w:right="89" w:rightChars="37"/>
                    <w:jc w:val="center"/>
                    <w:rPr>
                      <w:sz w:val="21"/>
                      <w:szCs w:val="21"/>
                    </w:rPr>
                  </w:pPr>
                  <w:r>
                    <w:rPr>
                      <w:rFonts w:hint="eastAsia"/>
                      <w:sz w:val="21"/>
                      <w:szCs w:val="21"/>
                    </w:rPr>
                    <w:t>生物处理阶段投加，作为</w:t>
                  </w:r>
                  <w:r>
                    <w:rPr>
                      <w:sz w:val="21"/>
                      <w:szCs w:val="21"/>
                    </w:rPr>
                    <w:t>外加碳源，</w:t>
                  </w:r>
                  <w:r>
                    <w:rPr>
                      <w:rFonts w:hint="eastAsia"/>
                      <w:sz w:val="21"/>
                      <w:szCs w:val="21"/>
                    </w:rPr>
                    <w:t>提高</w:t>
                  </w:r>
                  <w:r>
                    <w:rPr>
                      <w:sz w:val="21"/>
                      <w:szCs w:val="21"/>
                    </w:rPr>
                    <w:t>氮</w:t>
                  </w:r>
                  <w:r>
                    <w:rPr>
                      <w:rFonts w:hint="eastAsia"/>
                      <w:sz w:val="21"/>
                      <w:szCs w:val="21"/>
                    </w:rPr>
                    <w:t>的去处效果</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PAM</w:t>
                  </w:r>
                </w:p>
              </w:tc>
              <w:tc>
                <w:tcPr>
                  <w:tcW w:w="753" w:type="dxa"/>
                  <w:vAlign w:val="center"/>
                </w:tcPr>
                <w:p>
                  <w:pPr>
                    <w:autoSpaceDE w:val="0"/>
                    <w:autoSpaceDN w:val="0"/>
                    <w:ind w:right="89" w:rightChars="37"/>
                    <w:jc w:val="center"/>
                    <w:rPr>
                      <w:sz w:val="21"/>
                      <w:szCs w:val="21"/>
                    </w:rPr>
                  </w:pPr>
                  <w:r>
                    <w:rPr>
                      <w:sz w:val="21"/>
                      <w:szCs w:val="21"/>
                    </w:rPr>
                    <w:t>4</w:t>
                  </w:r>
                </w:p>
              </w:tc>
              <w:tc>
                <w:tcPr>
                  <w:tcW w:w="4551" w:type="dxa"/>
                  <w:vAlign w:val="center"/>
                </w:tcPr>
                <w:p>
                  <w:pPr>
                    <w:autoSpaceDE w:val="0"/>
                    <w:autoSpaceDN w:val="0"/>
                    <w:ind w:right="89" w:rightChars="37"/>
                    <w:jc w:val="center"/>
                    <w:rPr>
                      <w:sz w:val="21"/>
                      <w:szCs w:val="21"/>
                    </w:rPr>
                  </w:pPr>
                  <w:r>
                    <w:rPr>
                      <w:rFonts w:hint="eastAsia"/>
                      <w:sz w:val="21"/>
                      <w:szCs w:val="21"/>
                    </w:rPr>
                    <w:t>作为脱水剂，用于</w:t>
                  </w:r>
                  <w:r>
                    <w:rPr>
                      <w:sz w:val="21"/>
                      <w:szCs w:val="21"/>
                    </w:rPr>
                    <w:t>污泥脱水</w:t>
                  </w:r>
                  <w:r>
                    <w:rPr>
                      <w:rFonts w:hint="eastAsia"/>
                      <w:sz w:val="21"/>
                      <w:szCs w:val="21"/>
                    </w:rPr>
                    <w:t>前剩余污泥的调理</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pPr>
                    <w:autoSpaceDE w:val="0"/>
                    <w:autoSpaceDN w:val="0"/>
                    <w:ind w:right="89" w:rightChars="37"/>
                    <w:jc w:val="center"/>
                    <w:rPr>
                      <w:sz w:val="21"/>
                      <w:szCs w:val="21"/>
                    </w:rPr>
                  </w:pPr>
                  <w:r>
                    <w:rPr>
                      <w:sz w:val="21"/>
                      <w:szCs w:val="21"/>
                    </w:rPr>
                    <w:t>牛街污水厂</w:t>
                  </w:r>
                </w:p>
              </w:tc>
              <w:tc>
                <w:tcPr>
                  <w:tcW w:w="1165" w:type="dxa"/>
                  <w:vAlign w:val="center"/>
                </w:tcPr>
                <w:p>
                  <w:pPr>
                    <w:autoSpaceDE w:val="0"/>
                    <w:autoSpaceDN w:val="0"/>
                    <w:ind w:right="89" w:rightChars="37"/>
                    <w:jc w:val="center"/>
                    <w:rPr>
                      <w:sz w:val="21"/>
                      <w:szCs w:val="21"/>
                    </w:rPr>
                  </w:pPr>
                  <w:r>
                    <w:rPr>
                      <w:sz w:val="21"/>
                      <w:szCs w:val="21"/>
                    </w:rPr>
                    <w:t>聚铁</w:t>
                  </w:r>
                </w:p>
              </w:tc>
              <w:tc>
                <w:tcPr>
                  <w:tcW w:w="753" w:type="dxa"/>
                  <w:vAlign w:val="center"/>
                </w:tcPr>
                <w:p>
                  <w:pPr>
                    <w:autoSpaceDE w:val="0"/>
                    <w:autoSpaceDN w:val="0"/>
                    <w:ind w:right="89" w:rightChars="37"/>
                    <w:jc w:val="center"/>
                    <w:rPr>
                      <w:sz w:val="21"/>
                      <w:szCs w:val="21"/>
                    </w:rPr>
                  </w:pPr>
                  <w:r>
                    <w:rPr>
                      <w:sz w:val="21"/>
                      <w:szCs w:val="21"/>
                    </w:rPr>
                    <w:t>750</w:t>
                  </w:r>
                </w:p>
              </w:tc>
              <w:tc>
                <w:tcPr>
                  <w:tcW w:w="4551" w:type="dxa"/>
                  <w:vAlign w:val="center"/>
                </w:tcPr>
                <w:p>
                  <w:pPr>
                    <w:autoSpaceDE w:val="0"/>
                    <w:autoSpaceDN w:val="0"/>
                    <w:ind w:right="89" w:rightChars="37"/>
                    <w:rPr>
                      <w:sz w:val="21"/>
                      <w:szCs w:val="21"/>
                    </w:rPr>
                  </w:pPr>
                  <w:r>
                    <w:rPr>
                      <w:rFonts w:hint="eastAsia"/>
                      <w:sz w:val="21"/>
                      <w:szCs w:val="21"/>
                    </w:rPr>
                    <w:t>生物处理阶段投加，提高</w:t>
                  </w:r>
                  <w:r>
                    <w:rPr>
                      <w:sz w:val="21"/>
                      <w:szCs w:val="21"/>
                    </w:rPr>
                    <w:t>磷</w:t>
                  </w:r>
                  <w:r>
                    <w:rPr>
                      <w:rFonts w:hint="eastAsia"/>
                      <w:sz w:val="21"/>
                      <w:szCs w:val="21"/>
                    </w:rPr>
                    <w:t>的去</w:t>
                  </w:r>
                  <w:r>
                    <w:rPr>
                      <w:sz w:val="21"/>
                      <w:szCs w:val="21"/>
                    </w:rPr>
                    <w:t>除</w:t>
                  </w:r>
                  <w:r>
                    <w:rPr>
                      <w:rFonts w:hint="eastAsia"/>
                      <w:sz w:val="21"/>
                      <w:szCs w:val="21"/>
                    </w:rPr>
                    <w:t>效果</w:t>
                  </w:r>
                </w:p>
              </w:tc>
              <w:tc>
                <w:tcPr>
                  <w:tcW w:w="1376" w:type="dxa"/>
                  <w:vMerge w:val="restart"/>
                  <w:vAlign w:val="center"/>
                </w:tcPr>
                <w:p>
                  <w:pPr>
                    <w:autoSpaceDE w:val="0"/>
                    <w:autoSpaceDN w:val="0"/>
                    <w:ind w:right="89" w:rightChars="37"/>
                    <w:jc w:val="center"/>
                    <w:rPr>
                      <w:sz w:val="21"/>
                      <w:szCs w:val="21"/>
                    </w:rPr>
                  </w:pPr>
                  <w:r>
                    <w:rPr>
                      <w:rFonts w:hint="eastAsia"/>
                      <w:sz w:val="21"/>
                      <w:szCs w:val="21"/>
                    </w:rPr>
                    <w:t>由碧水源总公司统一购买后分发到各个污水厂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次氯酸钠</w:t>
                  </w:r>
                </w:p>
              </w:tc>
              <w:tc>
                <w:tcPr>
                  <w:tcW w:w="753" w:type="dxa"/>
                  <w:vAlign w:val="center"/>
                </w:tcPr>
                <w:p>
                  <w:pPr>
                    <w:autoSpaceDE w:val="0"/>
                    <w:autoSpaceDN w:val="0"/>
                    <w:ind w:right="89" w:rightChars="37"/>
                    <w:jc w:val="center"/>
                    <w:rPr>
                      <w:sz w:val="21"/>
                      <w:szCs w:val="21"/>
                    </w:rPr>
                  </w:pPr>
                  <w:r>
                    <w:rPr>
                      <w:sz w:val="21"/>
                      <w:szCs w:val="21"/>
                    </w:rPr>
                    <w:t>460</w:t>
                  </w:r>
                </w:p>
              </w:tc>
              <w:tc>
                <w:tcPr>
                  <w:tcW w:w="4551" w:type="dxa"/>
                  <w:vAlign w:val="center"/>
                </w:tcPr>
                <w:p>
                  <w:pPr>
                    <w:autoSpaceDE w:val="0"/>
                    <w:autoSpaceDN w:val="0"/>
                    <w:ind w:right="89" w:rightChars="37"/>
                    <w:jc w:val="center"/>
                    <w:rPr>
                      <w:sz w:val="21"/>
                      <w:szCs w:val="21"/>
                    </w:rPr>
                  </w:pPr>
                  <w:r>
                    <w:rPr>
                      <w:rFonts w:hint="eastAsia"/>
                      <w:sz w:val="21"/>
                      <w:szCs w:val="21"/>
                    </w:rPr>
                    <w:t>消毒剂，用于</w:t>
                  </w:r>
                  <w:r>
                    <w:rPr>
                      <w:sz w:val="21"/>
                      <w:szCs w:val="21"/>
                    </w:rPr>
                    <w:t>出水消毒</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乙酸钠</w:t>
                  </w:r>
                </w:p>
              </w:tc>
              <w:tc>
                <w:tcPr>
                  <w:tcW w:w="753" w:type="dxa"/>
                  <w:vAlign w:val="center"/>
                </w:tcPr>
                <w:p>
                  <w:pPr>
                    <w:autoSpaceDE w:val="0"/>
                    <w:autoSpaceDN w:val="0"/>
                    <w:ind w:right="89" w:rightChars="37"/>
                    <w:jc w:val="center"/>
                    <w:rPr>
                      <w:sz w:val="21"/>
                      <w:szCs w:val="21"/>
                    </w:rPr>
                  </w:pPr>
                  <w:r>
                    <w:rPr>
                      <w:sz w:val="21"/>
                      <w:szCs w:val="21"/>
                    </w:rPr>
                    <w:t>500</w:t>
                  </w:r>
                </w:p>
              </w:tc>
              <w:tc>
                <w:tcPr>
                  <w:tcW w:w="4551" w:type="dxa"/>
                  <w:vAlign w:val="center"/>
                </w:tcPr>
                <w:p>
                  <w:pPr>
                    <w:autoSpaceDE w:val="0"/>
                    <w:autoSpaceDN w:val="0"/>
                    <w:ind w:right="89" w:rightChars="37"/>
                    <w:jc w:val="center"/>
                    <w:rPr>
                      <w:sz w:val="21"/>
                      <w:szCs w:val="21"/>
                    </w:rPr>
                  </w:pPr>
                  <w:r>
                    <w:rPr>
                      <w:rFonts w:hint="eastAsia"/>
                      <w:sz w:val="21"/>
                      <w:szCs w:val="21"/>
                    </w:rPr>
                    <w:t>生物处理阶段投加，作为</w:t>
                  </w:r>
                  <w:r>
                    <w:rPr>
                      <w:sz w:val="21"/>
                      <w:szCs w:val="21"/>
                    </w:rPr>
                    <w:t>外加碳源，</w:t>
                  </w:r>
                  <w:r>
                    <w:rPr>
                      <w:rFonts w:hint="eastAsia"/>
                      <w:sz w:val="21"/>
                      <w:szCs w:val="21"/>
                    </w:rPr>
                    <w:t>提高</w:t>
                  </w:r>
                  <w:r>
                    <w:rPr>
                      <w:sz w:val="21"/>
                      <w:szCs w:val="21"/>
                    </w:rPr>
                    <w:t>氮</w:t>
                  </w:r>
                  <w:r>
                    <w:rPr>
                      <w:rFonts w:hint="eastAsia"/>
                      <w:sz w:val="21"/>
                      <w:szCs w:val="21"/>
                    </w:rPr>
                    <w:t>的去处效果</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PAM</w:t>
                  </w:r>
                </w:p>
              </w:tc>
              <w:tc>
                <w:tcPr>
                  <w:tcW w:w="753" w:type="dxa"/>
                  <w:vAlign w:val="center"/>
                </w:tcPr>
                <w:p>
                  <w:pPr>
                    <w:autoSpaceDE w:val="0"/>
                    <w:autoSpaceDN w:val="0"/>
                    <w:ind w:right="89" w:rightChars="37"/>
                    <w:jc w:val="center"/>
                    <w:rPr>
                      <w:sz w:val="21"/>
                      <w:szCs w:val="21"/>
                    </w:rPr>
                  </w:pPr>
                  <w:r>
                    <w:rPr>
                      <w:sz w:val="21"/>
                      <w:szCs w:val="21"/>
                    </w:rPr>
                    <w:t>6</w:t>
                  </w:r>
                </w:p>
              </w:tc>
              <w:tc>
                <w:tcPr>
                  <w:tcW w:w="4551" w:type="dxa"/>
                  <w:vAlign w:val="center"/>
                </w:tcPr>
                <w:p>
                  <w:pPr>
                    <w:autoSpaceDE w:val="0"/>
                    <w:autoSpaceDN w:val="0"/>
                    <w:ind w:right="89" w:rightChars="37"/>
                    <w:jc w:val="center"/>
                    <w:rPr>
                      <w:sz w:val="21"/>
                      <w:szCs w:val="21"/>
                    </w:rPr>
                  </w:pPr>
                  <w:r>
                    <w:rPr>
                      <w:rFonts w:hint="eastAsia"/>
                      <w:sz w:val="21"/>
                      <w:szCs w:val="21"/>
                    </w:rPr>
                    <w:t>作为脱水剂，用于</w:t>
                  </w:r>
                  <w:r>
                    <w:rPr>
                      <w:sz w:val="21"/>
                      <w:szCs w:val="21"/>
                    </w:rPr>
                    <w:t>污泥脱水</w:t>
                  </w:r>
                  <w:r>
                    <w:rPr>
                      <w:rFonts w:hint="eastAsia"/>
                      <w:sz w:val="21"/>
                      <w:szCs w:val="21"/>
                    </w:rPr>
                    <w:t>前剩余污泥的调理</w:t>
                  </w:r>
                </w:p>
              </w:tc>
              <w:tc>
                <w:tcPr>
                  <w:tcW w:w="1376" w:type="dxa"/>
                  <w:vMerge w:val="continue"/>
                  <w:vAlign w:val="center"/>
                </w:tcPr>
                <w:p>
                  <w:pPr>
                    <w:autoSpaceDE w:val="0"/>
                    <w:autoSpaceDN w:val="0"/>
                    <w:ind w:right="89" w:rightChars="37"/>
                    <w:jc w:val="center"/>
                    <w:rPr>
                      <w:sz w:val="21"/>
                      <w:szCs w:val="21"/>
                    </w:rPr>
                  </w:pPr>
                </w:p>
              </w:tc>
            </w:tr>
          </w:tbl>
          <w:p>
            <w:pPr>
              <w:adjustRightInd w:val="0"/>
              <w:snapToGrid w:val="0"/>
              <w:spacing w:beforeLines="50" w:line="360" w:lineRule="auto"/>
              <w:ind w:firstLine="482" w:firstLineChars="200"/>
              <w:rPr>
                <w:b/>
                <w:szCs w:val="24"/>
              </w:rPr>
            </w:pPr>
            <w:r>
              <w:rPr>
                <w:rFonts w:hint="eastAsia"/>
                <w:b/>
                <w:szCs w:val="24"/>
              </w:rPr>
              <w:t>8、设计进、出水水质</w:t>
            </w:r>
          </w:p>
          <w:p>
            <w:pPr>
              <w:adjustRightInd w:val="0"/>
              <w:snapToGrid w:val="0"/>
              <w:spacing w:line="360" w:lineRule="auto"/>
              <w:ind w:firstLine="480" w:firstLineChars="200"/>
              <w:rPr>
                <w:b/>
                <w:szCs w:val="24"/>
              </w:rPr>
            </w:pPr>
            <w:r>
              <w:rPr>
                <w:rFonts w:hint="eastAsia" w:ascii="宋体" w:hAnsi="宋体" w:cs="宋体"/>
              </w:rPr>
              <w:t>根据项目可行性研究报告，三座污水处理厂各污染物的设计进出水水质如下表：</w:t>
            </w:r>
          </w:p>
          <w:p>
            <w:pPr>
              <w:pStyle w:val="2"/>
              <w:tabs>
                <w:tab w:val="left" w:pos="3930"/>
              </w:tabs>
              <w:kinsoku w:val="0"/>
              <w:overflowPunct w:val="0"/>
              <w:adjustRightInd w:val="0"/>
              <w:snapToGrid w:val="0"/>
              <w:spacing w:before="0" w:after="0" w:line="360" w:lineRule="auto"/>
              <w:rPr>
                <w:b/>
                <w:bCs/>
                <w:sz w:val="21"/>
                <w:szCs w:val="16"/>
              </w:rPr>
            </w:pPr>
            <w:r>
              <w:rPr>
                <w:rFonts w:hint="eastAsia"/>
                <w:b/>
                <w:bCs/>
                <w:sz w:val="21"/>
                <w:szCs w:val="16"/>
              </w:rPr>
              <w:t>表1-16  污水处理厂设计进、出水水质指标表</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992"/>
              <w:gridCol w:w="869"/>
              <w:gridCol w:w="1144"/>
              <w:gridCol w:w="1391"/>
              <w:gridCol w:w="893"/>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vAlign w:val="center"/>
                </w:tcPr>
                <w:p>
                  <w:pPr>
                    <w:jc w:val="center"/>
                    <w:rPr>
                      <w:b/>
                      <w:bCs/>
                      <w:sz w:val="21"/>
                      <w:szCs w:val="21"/>
                    </w:rPr>
                  </w:pPr>
                  <w:r>
                    <w:rPr>
                      <w:rFonts w:hint="eastAsia"/>
                      <w:b/>
                      <w:bCs/>
                      <w:sz w:val="21"/>
                      <w:szCs w:val="21"/>
                    </w:rPr>
                    <w:t>水质指标</w:t>
                  </w:r>
                </w:p>
              </w:tc>
              <w:tc>
                <w:tcPr>
                  <w:tcW w:w="992" w:type="dxa"/>
                  <w:vAlign w:val="center"/>
                </w:tcPr>
                <w:p>
                  <w:pPr>
                    <w:jc w:val="center"/>
                    <w:rPr>
                      <w:b/>
                      <w:bCs/>
                      <w:sz w:val="21"/>
                      <w:szCs w:val="21"/>
                    </w:rPr>
                  </w:pPr>
                  <w:r>
                    <w:rPr>
                      <w:rFonts w:hint="eastAsia"/>
                      <w:b/>
                      <w:bCs/>
                      <w:sz w:val="21"/>
                      <w:szCs w:val="21"/>
                    </w:rPr>
                    <w:t>COD</w:t>
                  </w:r>
                </w:p>
              </w:tc>
              <w:tc>
                <w:tcPr>
                  <w:tcW w:w="869" w:type="dxa"/>
                  <w:vAlign w:val="center"/>
                </w:tcPr>
                <w:p>
                  <w:pPr>
                    <w:jc w:val="center"/>
                    <w:rPr>
                      <w:b/>
                      <w:bCs/>
                      <w:sz w:val="21"/>
                      <w:szCs w:val="21"/>
                    </w:rPr>
                  </w:pPr>
                  <w:r>
                    <w:rPr>
                      <w:rFonts w:hint="eastAsia"/>
                      <w:b/>
                      <w:bCs/>
                      <w:sz w:val="21"/>
                      <w:szCs w:val="21"/>
                    </w:rPr>
                    <w:t>BOD</w:t>
                  </w:r>
                  <w:r>
                    <w:rPr>
                      <w:rFonts w:hint="eastAsia"/>
                      <w:b/>
                      <w:bCs/>
                      <w:sz w:val="21"/>
                      <w:szCs w:val="21"/>
                      <w:vertAlign w:val="subscript"/>
                    </w:rPr>
                    <w:t>5</w:t>
                  </w:r>
                </w:p>
              </w:tc>
              <w:tc>
                <w:tcPr>
                  <w:tcW w:w="1144" w:type="dxa"/>
                  <w:vAlign w:val="center"/>
                </w:tcPr>
                <w:p>
                  <w:pPr>
                    <w:jc w:val="center"/>
                    <w:rPr>
                      <w:b/>
                      <w:bCs/>
                      <w:sz w:val="21"/>
                      <w:szCs w:val="21"/>
                    </w:rPr>
                  </w:pPr>
                  <w:r>
                    <w:rPr>
                      <w:rFonts w:hint="eastAsia"/>
                      <w:b/>
                      <w:bCs/>
                      <w:sz w:val="21"/>
                      <w:szCs w:val="21"/>
                    </w:rPr>
                    <w:t>SS</w:t>
                  </w:r>
                </w:p>
              </w:tc>
              <w:tc>
                <w:tcPr>
                  <w:tcW w:w="1391" w:type="dxa"/>
                  <w:vAlign w:val="center"/>
                </w:tcPr>
                <w:p>
                  <w:pPr>
                    <w:jc w:val="center"/>
                    <w:rPr>
                      <w:b/>
                      <w:bCs/>
                      <w:sz w:val="21"/>
                      <w:szCs w:val="21"/>
                    </w:rPr>
                  </w:pPr>
                  <w:r>
                    <w:rPr>
                      <w:rFonts w:hint="eastAsia"/>
                      <w:b/>
                      <w:bCs/>
                      <w:sz w:val="21"/>
                      <w:szCs w:val="21"/>
                    </w:rPr>
                    <w:t>NH</w:t>
                  </w:r>
                  <w:r>
                    <w:rPr>
                      <w:rFonts w:hint="eastAsia"/>
                      <w:b/>
                      <w:bCs/>
                      <w:sz w:val="21"/>
                      <w:szCs w:val="21"/>
                      <w:vertAlign w:val="subscript"/>
                    </w:rPr>
                    <w:t>3</w:t>
                  </w:r>
                  <w:r>
                    <w:rPr>
                      <w:rFonts w:hint="eastAsia"/>
                      <w:b/>
                      <w:bCs/>
                      <w:sz w:val="21"/>
                      <w:szCs w:val="21"/>
                    </w:rPr>
                    <w:t>-N</w:t>
                  </w:r>
                </w:p>
              </w:tc>
              <w:tc>
                <w:tcPr>
                  <w:tcW w:w="893" w:type="dxa"/>
                  <w:vAlign w:val="center"/>
                </w:tcPr>
                <w:p>
                  <w:pPr>
                    <w:jc w:val="center"/>
                    <w:rPr>
                      <w:b/>
                      <w:bCs/>
                      <w:sz w:val="21"/>
                      <w:szCs w:val="21"/>
                    </w:rPr>
                  </w:pPr>
                  <w:r>
                    <w:rPr>
                      <w:rFonts w:hint="eastAsia"/>
                      <w:b/>
                      <w:bCs/>
                      <w:sz w:val="21"/>
                      <w:szCs w:val="21"/>
                    </w:rPr>
                    <w:t>TN</w:t>
                  </w:r>
                </w:p>
              </w:tc>
              <w:tc>
                <w:tcPr>
                  <w:tcW w:w="1142" w:type="dxa"/>
                  <w:vAlign w:val="center"/>
                </w:tcPr>
                <w:p>
                  <w:pPr>
                    <w:jc w:val="center"/>
                    <w:rPr>
                      <w:b/>
                      <w:bCs/>
                      <w:sz w:val="21"/>
                      <w:szCs w:val="21"/>
                    </w:rPr>
                  </w:pPr>
                  <w:r>
                    <w:rPr>
                      <w:rFonts w:hint="eastAsia"/>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1" w:type="dxa"/>
                  <w:vAlign w:val="center"/>
                </w:tcPr>
                <w:p>
                  <w:pPr>
                    <w:jc w:val="center"/>
                    <w:rPr>
                      <w:sz w:val="21"/>
                      <w:szCs w:val="21"/>
                    </w:rPr>
                  </w:pPr>
                  <w:r>
                    <w:rPr>
                      <w:rFonts w:hint="eastAsia"/>
                      <w:sz w:val="21"/>
                      <w:szCs w:val="21"/>
                    </w:rPr>
                    <w:t>进水水质(mg/L)</w:t>
                  </w:r>
                </w:p>
              </w:tc>
              <w:tc>
                <w:tcPr>
                  <w:tcW w:w="992" w:type="dxa"/>
                  <w:vAlign w:val="center"/>
                </w:tcPr>
                <w:p>
                  <w:pPr>
                    <w:jc w:val="center"/>
                    <w:rPr>
                      <w:sz w:val="21"/>
                      <w:szCs w:val="21"/>
                    </w:rPr>
                  </w:pPr>
                  <w:r>
                    <w:rPr>
                      <w:rFonts w:hint="eastAsia"/>
                      <w:sz w:val="21"/>
                      <w:szCs w:val="21"/>
                    </w:rPr>
                    <w:t>280</w:t>
                  </w:r>
                </w:p>
              </w:tc>
              <w:tc>
                <w:tcPr>
                  <w:tcW w:w="869" w:type="dxa"/>
                  <w:vAlign w:val="center"/>
                </w:tcPr>
                <w:p>
                  <w:pPr>
                    <w:jc w:val="center"/>
                    <w:rPr>
                      <w:sz w:val="21"/>
                      <w:szCs w:val="21"/>
                    </w:rPr>
                  </w:pPr>
                  <w:r>
                    <w:rPr>
                      <w:rFonts w:hint="eastAsia"/>
                      <w:sz w:val="21"/>
                      <w:szCs w:val="21"/>
                    </w:rPr>
                    <w:t>150</w:t>
                  </w:r>
                </w:p>
              </w:tc>
              <w:tc>
                <w:tcPr>
                  <w:tcW w:w="1144" w:type="dxa"/>
                  <w:vAlign w:val="center"/>
                </w:tcPr>
                <w:p>
                  <w:pPr>
                    <w:jc w:val="center"/>
                    <w:rPr>
                      <w:sz w:val="21"/>
                      <w:szCs w:val="21"/>
                    </w:rPr>
                  </w:pPr>
                  <w:r>
                    <w:rPr>
                      <w:rFonts w:hint="eastAsia"/>
                      <w:sz w:val="21"/>
                      <w:szCs w:val="21"/>
                    </w:rPr>
                    <w:t>240</w:t>
                  </w:r>
                </w:p>
              </w:tc>
              <w:tc>
                <w:tcPr>
                  <w:tcW w:w="1391" w:type="dxa"/>
                  <w:vAlign w:val="center"/>
                </w:tcPr>
                <w:p>
                  <w:pPr>
                    <w:jc w:val="center"/>
                    <w:rPr>
                      <w:sz w:val="21"/>
                      <w:szCs w:val="21"/>
                    </w:rPr>
                  </w:pPr>
                  <w:r>
                    <w:rPr>
                      <w:rFonts w:hint="eastAsia"/>
                      <w:sz w:val="21"/>
                      <w:szCs w:val="21"/>
                    </w:rPr>
                    <w:t>15</w:t>
                  </w:r>
                </w:p>
              </w:tc>
              <w:tc>
                <w:tcPr>
                  <w:tcW w:w="893" w:type="dxa"/>
                  <w:vAlign w:val="center"/>
                </w:tcPr>
                <w:p>
                  <w:pPr>
                    <w:jc w:val="center"/>
                    <w:rPr>
                      <w:sz w:val="21"/>
                      <w:szCs w:val="21"/>
                    </w:rPr>
                  </w:pPr>
                  <w:r>
                    <w:rPr>
                      <w:rFonts w:hint="eastAsia"/>
                      <w:sz w:val="21"/>
                      <w:szCs w:val="21"/>
                    </w:rPr>
                    <w:t>35</w:t>
                  </w:r>
                </w:p>
              </w:tc>
              <w:tc>
                <w:tcPr>
                  <w:tcW w:w="1142" w:type="dxa"/>
                  <w:vAlign w:val="center"/>
                </w:tcPr>
                <w:p>
                  <w:pPr>
                    <w:jc w:val="center"/>
                    <w:rPr>
                      <w:sz w:val="21"/>
                      <w:szCs w:val="21"/>
                    </w:rPr>
                  </w:pPr>
                  <w:r>
                    <w:rPr>
                      <w:rFonts w:hint="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vAlign w:val="center"/>
                </w:tcPr>
                <w:p>
                  <w:pPr>
                    <w:jc w:val="center"/>
                    <w:rPr>
                      <w:sz w:val="21"/>
                      <w:szCs w:val="21"/>
                    </w:rPr>
                  </w:pPr>
                  <w:r>
                    <w:rPr>
                      <w:rFonts w:hint="eastAsia"/>
                      <w:sz w:val="21"/>
                      <w:szCs w:val="21"/>
                    </w:rPr>
                    <w:t>出水水质（mg/L）</w:t>
                  </w:r>
                </w:p>
              </w:tc>
              <w:tc>
                <w:tcPr>
                  <w:tcW w:w="992" w:type="dxa"/>
                  <w:vAlign w:val="center"/>
                </w:tcPr>
                <w:p>
                  <w:pPr>
                    <w:jc w:val="center"/>
                    <w:rPr>
                      <w:sz w:val="21"/>
                      <w:szCs w:val="21"/>
                    </w:rPr>
                  </w:pPr>
                  <w:r>
                    <w:rPr>
                      <w:rFonts w:hint="eastAsia"/>
                      <w:sz w:val="21"/>
                      <w:szCs w:val="21"/>
                    </w:rPr>
                    <w:t>≤30</w:t>
                  </w:r>
                </w:p>
              </w:tc>
              <w:tc>
                <w:tcPr>
                  <w:tcW w:w="869" w:type="dxa"/>
                  <w:vAlign w:val="center"/>
                </w:tcPr>
                <w:p>
                  <w:pPr>
                    <w:jc w:val="center"/>
                    <w:rPr>
                      <w:sz w:val="21"/>
                      <w:szCs w:val="21"/>
                    </w:rPr>
                  </w:pPr>
                  <w:r>
                    <w:rPr>
                      <w:rFonts w:hint="eastAsia"/>
                      <w:sz w:val="21"/>
                      <w:szCs w:val="21"/>
                    </w:rPr>
                    <w:t>≤6</w:t>
                  </w:r>
                </w:p>
              </w:tc>
              <w:tc>
                <w:tcPr>
                  <w:tcW w:w="1144" w:type="dxa"/>
                  <w:vAlign w:val="center"/>
                </w:tcPr>
                <w:p>
                  <w:pPr>
                    <w:jc w:val="center"/>
                    <w:rPr>
                      <w:sz w:val="21"/>
                      <w:szCs w:val="21"/>
                    </w:rPr>
                  </w:pPr>
                  <w:r>
                    <w:rPr>
                      <w:rFonts w:hint="eastAsia"/>
                      <w:sz w:val="21"/>
                      <w:szCs w:val="21"/>
                    </w:rPr>
                    <w:t>≤10</w:t>
                  </w:r>
                </w:p>
              </w:tc>
              <w:tc>
                <w:tcPr>
                  <w:tcW w:w="1391" w:type="dxa"/>
                  <w:vAlign w:val="center"/>
                </w:tcPr>
                <w:p>
                  <w:pPr>
                    <w:jc w:val="center"/>
                    <w:rPr>
                      <w:sz w:val="21"/>
                      <w:szCs w:val="21"/>
                    </w:rPr>
                  </w:pPr>
                  <w:r>
                    <w:rPr>
                      <w:rFonts w:hint="eastAsia"/>
                      <w:sz w:val="21"/>
                      <w:szCs w:val="21"/>
                    </w:rPr>
                    <w:t>≤1.5</w:t>
                  </w:r>
                </w:p>
              </w:tc>
              <w:tc>
                <w:tcPr>
                  <w:tcW w:w="893" w:type="dxa"/>
                  <w:vAlign w:val="center"/>
                </w:tcPr>
                <w:p>
                  <w:pPr>
                    <w:jc w:val="center"/>
                    <w:rPr>
                      <w:sz w:val="21"/>
                      <w:szCs w:val="21"/>
                    </w:rPr>
                  </w:pPr>
                  <w:r>
                    <w:rPr>
                      <w:rFonts w:hint="eastAsia"/>
                      <w:sz w:val="21"/>
                      <w:szCs w:val="21"/>
                    </w:rPr>
                    <w:t>≤15</w:t>
                  </w:r>
                </w:p>
              </w:tc>
              <w:tc>
                <w:tcPr>
                  <w:tcW w:w="1142" w:type="dxa"/>
                  <w:vAlign w:val="center"/>
                </w:tcPr>
                <w:p>
                  <w:pPr>
                    <w:jc w:val="center"/>
                    <w:rPr>
                      <w:sz w:val="21"/>
                      <w:szCs w:val="21"/>
                    </w:rPr>
                  </w:pPr>
                  <w:r>
                    <w:rPr>
                      <w:rFonts w:hint="eastAsia"/>
                      <w:sz w:val="21"/>
                      <w:szCs w:val="21"/>
                    </w:rPr>
                    <w:t>≤0.3</w:t>
                  </w:r>
                </w:p>
              </w:tc>
            </w:tr>
          </w:tbl>
          <w:p>
            <w:pPr>
              <w:adjustRightInd w:val="0"/>
              <w:snapToGrid w:val="0"/>
              <w:spacing w:beforeLines="50" w:line="360" w:lineRule="auto"/>
              <w:ind w:firstLine="482" w:firstLineChars="200"/>
              <w:rPr>
                <w:b/>
                <w:szCs w:val="24"/>
              </w:rPr>
            </w:pPr>
            <w:r>
              <w:rPr>
                <w:rFonts w:hint="eastAsia"/>
                <w:b/>
                <w:szCs w:val="24"/>
              </w:rPr>
              <w:t>9</w:t>
            </w:r>
            <w:r>
              <w:rPr>
                <w:b/>
                <w:szCs w:val="24"/>
              </w:rPr>
              <w:t>、劳动定员</w:t>
            </w:r>
          </w:p>
          <w:p>
            <w:pPr>
              <w:adjustRightInd w:val="0"/>
              <w:snapToGrid w:val="0"/>
              <w:spacing w:line="360" w:lineRule="auto"/>
              <w:ind w:firstLine="480" w:firstLineChars="200"/>
              <w:rPr>
                <w:szCs w:val="24"/>
              </w:rPr>
            </w:pPr>
            <w:r>
              <w:rPr>
                <w:rFonts w:hint="eastAsia"/>
                <w:szCs w:val="24"/>
              </w:rPr>
              <w:t>根据本项目的实际情况，邓川、右所污水厂提标改造后，均不增加管理人员。牛街污水厂新建后，将</w:t>
            </w:r>
            <w:r>
              <w:rPr>
                <w:rFonts w:hint="eastAsia"/>
                <w:bCs/>
              </w:rPr>
              <w:t>配备3个管理人员，厂区均不设置员工食堂，管理人员均不在厂区内就餐</w:t>
            </w:r>
            <w:r>
              <w:rPr>
                <w:rFonts w:hint="eastAsia"/>
                <w:szCs w:val="24"/>
              </w:rPr>
              <w:t>。</w:t>
            </w:r>
          </w:p>
          <w:p>
            <w:pPr>
              <w:adjustRightInd w:val="0"/>
              <w:snapToGrid w:val="0"/>
              <w:spacing w:line="360" w:lineRule="auto"/>
              <w:ind w:firstLine="482" w:firstLineChars="200"/>
              <w:rPr>
                <w:b/>
                <w:szCs w:val="24"/>
              </w:rPr>
            </w:pPr>
            <w:r>
              <w:rPr>
                <w:rFonts w:hint="eastAsia"/>
                <w:b/>
                <w:szCs w:val="24"/>
              </w:rPr>
              <w:t>10</w:t>
            </w:r>
            <w:r>
              <w:rPr>
                <w:b/>
                <w:szCs w:val="24"/>
              </w:rPr>
              <w:t>、环保投资</w:t>
            </w:r>
          </w:p>
          <w:p>
            <w:pPr>
              <w:adjustRightInd w:val="0"/>
              <w:snapToGrid w:val="0"/>
              <w:spacing w:line="360" w:lineRule="auto"/>
              <w:ind w:firstLine="480" w:firstLineChars="200"/>
              <w:rPr>
                <w:b/>
                <w:bCs/>
                <w:szCs w:val="21"/>
              </w:rPr>
            </w:pPr>
            <w:r>
              <w:rPr>
                <w:rFonts w:hint="eastAsia"/>
                <w:szCs w:val="24"/>
              </w:rPr>
              <w:t>项目总投资15000万元，</w:t>
            </w:r>
            <w:r>
              <w:t>其中用于工程环境保护的直接投资</w:t>
            </w:r>
            <w:r>
              <w:rPr>
                <w:rFonts w:hint="eastAsia"/>
              </w:rPr>
              <w:t>242</w:t>
            </w:r>
            <w:r>
              <w:t>万元，占工程总投资的</w:t>
            </w:r>
            <w:r>
              <w:rPr>
                <w:rFonts w:hint="eastAsia"/>
              </w:rPr>
              <w:t>1.61</w:t>
            </w:r>
            <w:r>
              <w:t>%，环保投资估算见</w:t>
            </w:r>
            <w:r>
              <w:rPr>
                <w:rFonts w:hint="eastAsia"/>
              </w:rPr>
              <w:t>下表：</w:t>
            </w:r>
          </w:p>
          <w:p>
            <w:pPr>
              <w:adjustRightInd w:val="0"/>
              <w:snapToGrid w:val="0"/>
              <w:spacing w:line="360" w:lineRule="auto"/>
              <w:jc w:val="center"/>
              <w:rPr>
                <w:b/>
                <w:bCs/>
                <w:sz w:val="21"/>
                <w:szCs w:val="18"/>
              </w:rPr>
            </w:pPr>
            <w:r>
              <w:rPr>
                <w:b/>
                <w:bCs/>
                <w:sz w:val="21"/>
                <w:szCs w:val="18"/>
              </w:rPr>
              <w:t>表1-</w:t>
            </w:r>
            <w:r>
              <w:rPr>
                <w:rFonts w:hint="eastAsia"/>
                <w:b/>
                <w:bCs/>
                <w:sz w:val="21"/>
                <w:szCs w:val="18"/>
              </w:rPr>
              <w:t xml:space="preserve">17 </w:t>
            </w:r>
            <w:r>
              <w:rPr>
                <w:b/>
                <w:bCs/>
                <w:sz w:val="21"/>
                <w:szCs w:val="18"/>
              </w:rPr>
              <w:t xml:space="preserve"> 主要</w:t>
            </w:r>
            <w:r>
              <w:rPr>
                <w:rFonts w:hint="eastAsia"/>
                <w:b/>
                <w:bCs/>
                <w:sz w:val="21"/>
                <w:szCs w:val="18"/>
              </w:rPr>
              <w:t>环</w:t>
            </w:r>
            <w:r>
              <w:rPr>
                <w:b/>
                <w:bCs/>
                <w:sz w:val="21"/>
                <w:szCs w:val="18"/>
              </w:rPr>
              <w:t>保投资估算一览表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925"/>
              <w:gridCol w:w="1100"/>
              <w:gridCol w:w="3063"/>
              <w:gridCol w:w="1038"/>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Align w:val="center"/>
                </w:tcPr>
                <w:p>
                  <w:pPr>
                    <w:jc w:val="center"/>
                    <w:rPr>
                      <w:b/>
                      <w:bCs/>
                      <w:sz w:val="21"/>
                      <w:szCs w:val="21"/>
                    </w:rPr>
                  </w:pPr>
                  <w:r>
                    <w:rPr>
                      <w:rFonts w:hint="eastAsia"/>
                      <w:b/>
                      <w:bCs/>
                      <w:sz w:val="21"/>
                      <w:szCs w:val="21"/>
                    </w:rPr>
                    <w:t>时段</w:t>
                  </w:r>
                </w:p>
              </w:tc>
              <w:tc>
                <w:tcPr>
                  <w:tcW w:w="925" w:type="dxa"/>
                  <w:vAlign w:val="center"/>
                </w:tcPr>
                <w:p>
                  <w:pPr>
                    <w:jc w:val="center"/>
                    <w:rPr>
                      <w:b/>
                      <w:bCs/>
                      <w:sz w:val="21"/>
                      <w:szCs w:val="21"/>
                    </w:rPr>
                  </w:pPr>
                  <w:r>
                    <w:rPr>
                      <w:rFonts w:hint="eastAsia"/>
                      <w:b/>
                      <w:bCs/>
                      <w:sz w:val="21"/>
                      <w:szCs w:val="21"/>
                    </w:rPr>
                    <w:t>项目</w:t>
                  </w:r>
                </w:p>
              </w:tc>
              <w:tc>
                <w:tcPr>
                  <w:tcW w:w="1100" w:type="dxa"/>
                  <w:vAlign w:val="center"/>
                </w:tcPr>
                <w:p>
                  <w:pPr>
                    <w:jc w:val="center"/>
                    <w:rPr>
                      <w:b/>
                      <w:bCs/>
                      <w:sz w:val="21"/>
                      <w:szCs w:val="21"/>
                    </w:rPr>
                  </w:pPr>
                  <w:r>
                    <w:rPr>
                      <w:rFonts w:hint="eastAsia"/>
                      <w:b/>
                      <w:bCs/>
                      <w:sz w:val="21"/>
                      <w:szCs w:val="21"/>
                    </w:rPr>
                    <w:t>污染类型</w:t>
                  </w:r>
                </w:p>
              </w:tc>
              <w:tc>
                <w:tcPr>
                  <w:tcW w:w="3063" w:type="dxa"/>
                  <w:vAlign w:val="center"/>
                </w:tcPr>
                <w:p>
                  <w:pPr>
                    <w:jc w:val="center"/>
                    <w:rPr>
                      <w:b/>
                      <w:bCs/>
                      <w:sz w:val="21"/>
                      <w:szCs w:val="21"/>
                    </w:rPr>
                  </w:pPr>
                  <w:r>
                    <w:rPr>
                      <w:rFonts w:hint="eastAsia"/>
                      <w:b/>
                      <w:bCs/>
                      <w:sz w:val="21"/>
                      <w:szCs w:val="21"/>
                    </w:rPr>
                    <w:t>治理措施</w:t>
                  </w:r>
                </w:p>
              </w:tc>
              <w:tc>
                <w:tcPr>
                  <w:tcW w:w="1038" w:type="dxa"/>
                  <w:vAlign w:val="center"/>
                </w:tcPr>
                <w:p>
                  <w:pPr>
                    <w:jc w:val="center"/>
                    <w:rPr>
                      <w:b/>
                      <w:bCs/>
                      <w:sz w:val="21"/>
                      <w:szCs w:val="21"/>
                    </w:rPr>
                  </w:pPr>
                  <w:r>
                    <w:rPr>
                      <w:b/>
                      <w:bCs/>
                      <w:sz w:val="21"/>
                      <w:szCs w:val="21"/>
                    </w:rPr>
                    <w:t>金额</w:t>
                  </w:r>
                </w:p>
                <w:p>
                  <w:pPr>
                    <w:jc w:val="center"/>
                    <w:rPr>
                      <w:b/>
                      <w:bCs/>
                      <w:sz w:val="21"/>
                      <w:szCs w:val="21"/>
                    </w:rPr>
                  </w:pPr>
                  <w:r>
                    <w:rPr>
                      <w:b/>
                      <w:bCs/>
                      <w:sz w:val="21"/>
                      <w:szCs w:val="21"/>
                    </w:rPr>
                    <w:t>（万元）</w:t>
                  </w:r>
                </w:p>
              </w:tc>
              <w:tc>
                <w:tcPr>
                  <w:tcW w:w="1956" w:type="dxa"/>
                  <w:vAlign w:val="center"/>
                </w:tcPr>
                <w:p>
                  <w:pPr>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restart"/>
                  <w:vAlign w:val="center"/>
                </w:tcPr>
                <w:p>
                  <w:pPr>
                    <w:jc w:val="center"/>
                    <w:rPr>
                      <w:sz w:val="21"/>
                      <w:szCs w:val="21"/>
                    </w:rPr>
                  </w:pPr>
                  <w:r>
                    <w:rPr>
                      <w:rFonts w:hint="eastAsia"/>
                      <w:sz w:val="21"/>
                      <w:szCs w:val="21"/>
                    </w:rPr>
                    <w:t>施工期</w:t>
                  </w:r>
                </w:p>
                <w:p>
                  <w:pPr>
                    <w:jc w:val="center"/>
                    <w:rPr>
                      <w:sz w:val="21"/>
                      <w:szCs w:val="21"/>
                    </w:rPr>
                  </w:pPr>
                </w:p>
              </w:tc>
              <w:tc>
                <w:tcPr>
                  <w:tcW w:w="925" w:type="dxa"/>
                  <w:vMerge w:val="restart"/>
                  <w:vAlign w:val="center"/>
                </w:tcPr>
                <w:p>
                  <w:pPr>
                    <w:jc w:val="center"/>
                    <w:rPr>
                      <w:sz w:val="21"/>
                      <w:szCs w:val="21"/>
                    </w:rPr>
                  </w:pPr>
                  <w:r>
                    <w:rPr>
                      <w:rFonts w:hint="eastAsia"/>
                      <w:sz w:val="21"/>
                      <w:szCs w:val="21"/>
                    </w:rPr>
                    <w:t>污水处理厂</w:t>
                  </w:r>
                </w:p>
              </w:tc>
              <w:tc>
                <w:tcPr>
                  <w:tcW w:w="1100" w:type="dxa"/>
                  <w:vMerge w:val="restart"/>
                  <w:vAlign w:val="center"/>
                </w:tcPr>
                <w:p>
                  <w:pPr>
                    <w:jc w:val="center"/>
                    <w:rPr>
                      <w:sz w:val="21"/>
                      <w:szCs w:val="21"/>
                    </w:rPr>
                  </w:pPr>
                  <w:r>
                    <w:rPr>
                      <w:rFonts w:hint="eastAsia"/>
                      <w:sz w:val="21"/>
                      <w:szCs w:val="21"/>
                    </w:rPr>
                    <w:t>废气治理</w:t>
                  </w:r>
                </w:p>
              </w:tc>
              <w:tc>
                <w:tcPr>
                  <w:tcW w:w="3063" w:type="dxa"/>
                  <w:vAlign w:val="center"/>
                </w:tcPr>
                <w:p>
                  <w:pPr>
                    <w:jc w:val="center"/>
                    <w:rPr>
                      <w:sz w:val="21"/>
                      <w:szCs w:val="21"/>
                    </w:rPr>
                  </w:pPr>
                  <w:r>
                    <w:rPr>
                      <w:rFonts w:hint="eastAsia"/>
                      <w:sz w:val="21"/>
                      <w:szCs w:val="21"/>
                    </w:rPr>
                    <w:t>施工围挡、洒水降尘</w:t>
                  </w:r>
                </w:p>
              </w:tc>
              <w:tc>
                <w:tcPr>
                  <w:tcW w:w="1038" w:type="dxa"/>
                  <w:vAlign w:val="center"/>
                </w:tcPr>
                <w:p>
                  <w:pPr>
                    <w:jc w:val="center"/>
                    <w:rPr>
                      <w:sz w:val="21"/>
                      <w:szCs w:val="21"/>
                    </w:rPr>
                  </w:pPr>
                  <w:r>
                    <w:rPr>
                      <w:rFonts w:hint="eastAsia"/>
                      <w:sz w:val="21"/>
                      <w:szCs w:val="21"/>
                    </w:rPr>
                    <w:t>20</w:t>
                  </w:r>
                </w:p>
              </w:tc>
              <w:tc>
                <w:tcPr>
                  <w:tcW w:w="1956" w:type="dxa"/>
                  <w:vAlign w:val="center"/>
                </w:tcPr>
                <w:p>
                  <w:pPr>
                    <w:jc w:val="center"/>
                    <w:rPr>
                      <w:sz w:val="21"/>
                      <w:szCs w:val="21"/>
                    </w:rPr>
                  </w:pPr>
                  <w:r>
                    <w:rPr>
                      <w:rFonts w:hint="eastAsia"/>
                      <w:sz w:val="21"/>
                      <w:szCs w:val="21"/>
                    </w:rPr>
                    <w:t>工程设计，已落实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Merge w:val="continue"/>
                  <w:vAlign w:val="center"/>
                </w:tcPr>
                <w:p>
                  <w:pPr>
                    <w:jc w:val="center"/>
                    <w:rPr>
                      <w:sz w:val="21"/>
                      <w:szCs w:val="21"/>
                    </w:rPr>
                  </w:pPr>
                </w:p>
              </w:tc>
              <w:tc>
                <w:tcPr>
                  <w:tcW w:w="3063" w:type="dxa"/>
                  <w:vAlign w:val="center"/>
                </w:tcPr>
                <w:p>
                  <w:pPr>
                    <w:jc w:val="center"/>
                    <w:rPr>
                      <w:sz w:val="21"/>
                      <w:szCs w:val="21"/>
                    </w:rPr>
                  </w:pPr>
                  <w:r>
                    <w:rPr>
                      <w:rFonts w:hint="eastAsia"/>
                      <w:sz w:val="21"/>
                      <w:szCs w:val="21"/>
                    </w:rPr>
                    <w:t>篷布覆盖、遮挡</w:t>
                  </w:r>
                </w:p>
              </w:tc>
              <w:tc>
                <w:tcPr>
                  <w:tcW w:w="1038" w:type="dxa"/>
                  <w:vAlign w:val="center"/>
                </w:tcPr>
                <w:p>
                  <w:pPr>
                    <w:jc w:val="center"/>
                    <w:rPr>
                      <w:sz w:val="21"/>
                      <w:szCs w:val="21"/>
                    </w:rPr>
                  </w:pPr>
                  <w:r>
                    <w:rPr>
                      <w:rFonts w:hint="eastAsia"/>
                      <w:sz w:val="21"/>
                      <w:szCs w:val="21"/>
                    </w:rPr>
                    <w:t>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废水治理</w:t>
                  </w:r>
                </w:p>
              </w:tc>
              <w:tc>
                <w:tcPr>
                  <w:tcW w:w="3063" w:type="dxa"/>
                  <w:vAlign w:val="center"/>
                </w:tcPr>
                <w:p>
                  <w:pPr>
                    <w:jc w:val="center"/>
                    <w:rPr>
                      <w:sz w:val="21"/>
                      <w:szCs w:val="21"/>
                    </w:rPr>
                  </w:pPr>
                  <w:r>
                    <w:rPr>
                      <w:rFonts w:hint="eastAsia"/>
                      <w:sz w:val="21"/>
                      <w:szCs w:val="21"/>
                    </w:rPr>
                    <w:t>施工区临时沉淀池</w:t>
                  </w:r>
                </w:p>
              </w:tc>
              <w:tc>
                <w:tcPr>
                  <w:tcW w:w="1038" w:type="dxa"/>
                  <w:vAlign w:val="center"/>
                </w:tcPr>
                <w:p>
                  <w:pPr>
                    <w:jc w:val="center"/>
                    <w:rPr>
                      <w:sz w:val="21"/>
                      <w:szCs w:val="21"/>
                    </w:rPr>
                  </w:pPr>
                  <w:r>
                    <w:rPr>
                      <w:rFonts w:hint="eastAsia"/>
                      <w:sz w:val="21"/>
                      <w:szCs w:val="21"/>
                    </w:rPr>
                    <w:t>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噪声治理</w:t>
                  </w:r>
                </w:p>
              </w:tc>
              <w:tc>
                <w:tcPr>
                  <w:tcW w:w="3063" w:type="dxa"/>
                  <w:vAlign w:val="center"/>
                </w:tcPr>
                <w:p>
                  <w:pPr>
                    <w:jc w:val="center"/>
                    <w:rPr>
                      <w:sz w:val="21"/>
                      <w:szCs w:val="21"/>
                    </w:rPr>
                  </w:pPr>
                  <w:r>
                    <w:rPr>
                      <w:rFonts w:hint="eastAsia"/>
                      <w:sz w:val="21"/>
                      <w:szCs w:val="21"/>
                    </w:rPr>
                    <w:t>优选施工机械设备</w:t>
                  </w:r>
                </w:p>
              </w:tc>
              <w:tc>
                <w:tcPr>
                  <w:tcW w:w="1038" w:type="dxa"/>
                  <w:vAlign w:val="center"/>
                </w:tcPr>
                <w:p>
                  <w:pPr>
                    <w:jc w:val="center"/>
                    <w:rPr>
                      <w:sz w:val="21"/>
                      <w:szCs w:val="21"/>
                    </w:rPr>
                  </w:pPr>
                  <w:r>
                    <w:rPr>
                      <w:rFonts w:hint="eastAsia"/>
                      <w:sz w:val="21"/>
                      <w:szCs w:val="21"/>
                    </w:rPr>
                    <w:t>10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Merge w:val="restart"/>
                  <w:vAlign w:val="center"/>
                </w:tcPr>
                <w:p>
                  <w:pPr>
                    <w:jc w:val="center"/>
                    <w:rPr>
                      <w:sz w:val="21"/>
                      <w:szCs w:val="21"/>
                    </w:rPr>
                  </w:pPr>
                  <w:r>
                    <w:rPr>
                      <w:rFonts w:hint="eastAsia"/>
                      <w:sz w:val="21"/>
                      <w:szCs w:val="21"/>
                    </w:rPr>
                    <w:t>固体废物治理</w:t>
                  </w:r>
                </w:p>
              </w:tc>
              <w:tc>
                <w:tcPr>
                  <w:tcW w:w="3063" w:type="dxa"/>
                  <w:vAlign w:val="center"/>
                </w:tcPr>
                <w:p>
                  <w:pPr>
                    <w:jc w:val="center"/>
                    <w:rPr>
                      <w:sz w:val="21"/>
                      <w:szCs w:val="21"/>
                    </w:rPr>
                  </w:pPr>
                  <w:r>
                    <w:rPr>
                      <w:rFonts w:hint="eastAsia"/>
                      <w:sz w:val="21"/>
                      <w:szCs w:val="21"/>
                    </w:rPr>
                    <w:t>表土收集、弃渣清运</w:t>
                  </w:r>
                </w:p>
              </w:tc>
              <w:tc>
                <w:tcPr>
                  <w:tcW w:w="1038" w:type="dxa"/>
                  <w:vAlign w:val="center"/>
                </w:tcPr>
                <w:p>
                  <w:pPr>
                    <w:jc w:val="center"/>
                    <w:rPr>
                      <w:sz w:val="21"/>
                      <w:szCs w:val="21"/>
                    </w:rPr>
                  </w:pPr>
                  <w:r>
                    <w:rPr>
                      <w:rFonts w:hint="eastAsia"/>
                      <w:sz w:val="21"/>
                      <w:szCs w:val="21"/>
                    </w:rPr>
                    <w:t>20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Merge w:val="continue"/>
                  <w:vAlign w:val="center"/>
                </w:tcPr>
                <w:p>
                  <w:pPr>
                    <w:jc w:val="center"/>
                    <w:rPr>
                      <w:sz w:val="21"/>
                      <w:szCs w:val="21"/>
                    </w:rPr>
                  </w:pPr>
                </w:p>
              </w:tc>
              <w:tc>
                <w:tcPr>
                  <w:tcW w:w="3063" w:type="dxa"/>
                  <w:vAlign w:val="center"/>
                </w:tcPr>
                <w:p>
                  <w:pPr>
                    <w:jc w:val="center"/>
                    <w:rPr>
                      <w:sz w:val="21"/>
                      <w:szCs w:val="21"/>
                    </w:rPr>
                  </w:pPr>
                  <w:r>
                    <w:rPr>
                      <w:rFonts w:hint="eastAsia"/>
                      <w:sz w:val="21"/>
                      <w:szCs w:val="21"/>
                    </w:rPr>
                    <w:t>生活垃圾收集、清运</w:t>
                  </w:r>
                </w:p>
              </w:tc>
              <w:tc>
                <w:tcPr>
                  <w:tcW w:w="1038" w:type="dxa"/>
                  <w:vAlign w:val="center"/>
                </w:tcPr>
                <w:p>
                  <w:pPr>
                    <w:jc w:val="center"/>
                    <w:rPr>
                      <w:sz w:val="21"/>
                      <w:szCs w:val="21"/>
                    </w:rPr>
                  </w:pPr>
                  <w:r>
                    <w:rPr>
                      <w:rFonts w:hint="eastAsia"/>
                      <w:sz w:val="21"/>
                      <w:szCs w:val="21"/>
                    </w:rPr>
                    <w:t>2</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restart"/>
                  <w:vAlign w:val="center"/>
                </w:tcPr>
                <w:p>
                  <w:pPr>
                    <w:jc w:val="center"/>
                    <w:rPr>
                      <w:sz w:val="21"/>
                      <w:szCs w:val="21"/>
                    </w:rPr>
                  </w:pPr>
                  <w:r>
                    <w:rPr>
                      <w:rFonts w:hint="eastAsia"/>
                      <w:sz w:val="21"/>
                      <w:szCs w:val="21"/>
                    </w:rPr>
                    <w:t>管网及CWT站</w:t>
                  </w:r>
                </w:p>
              </w:tc>
              <w:tc>
                <w:tcPr>
                  <w:tcW w:w="1100" w:type="dxa"/>
                  <w:vAlign w:val="center"/>
                </w:tcPr>
                <w:p>
                  <w:pPr>
                    <w:jc w:val="center"/>
                    <w:rPr>
                      <w:sz w:val="21"/>
                      <w:szCs w:val="21"/>
                    </w:rPr>
                  </w:pPr>
                  <w:r>
                    <w:rPr>
                      <w:rFonts w:hint="eastAsia"/>
                      <w:sz w:val="21"/>
                      <w:szCs w:val="21"/>
                    </w:rPr>
                    <w:t>生态治理</w:t>
                  </w:r>
                </w:p>
              </w:tc>
              <w:tc>
                <w:tcPr>
                  <w:tcW w:w="3063" w:type="dxa"/>
                  <w:vAlign w:val="center"/>
                </w:tcPr>
                <w:p>
                  <w:pPr>
                    <w:jc w:val="center"/>
                    <w:rPr>
                      <w:sz w:val="21"/>
                      <w:szCs w:val="21"/>
                    </w:rPr>
                  </w:pPr>
                  <w:r>
                    <w:rPr>
                      <w:rFonts w:hint="eastAsia"/>
                      <w:sz w:val="21"/>
                      <w:szCs w:val="21"/>
                    </w:rPr>
                    <w:t>施工迹地、临时占地的植被恢复</w:t>
                  </w:r>
                </w:p>
              </w:tc>
              <w:tc>
                <w:tcPr>
                  <w:tcW w:w="1038" w:type="dxa"/>
                  <w:vAlign w:val="center"/>
                </w:tcPr>
                <w:p>
                  <w:pPr>
                    <w:jc w:val="center"/>
                    <w:rPr>
                      <w:sz w:val="21"/>
                      <w:szCs w:val="21"/>
                    </w:rPr>
                  </w:pPr>
                  <w:r>
                    <w:rPr>
                      <w:rFonts w:hint="eastAsia"/>
                      <w:sz w:val="21"/>
                      <w:szCs w:val="21"/>
                    </w:rPr>
                    <w:t>20</w:t>
                  </w:r>
                </w:p>
              </w:tc>
              <w:tc>
                <w:tcPr>
                  <w:tcW w:w="1956" w:type="dxa"/>
                  <w:vAlign w:val="center"/>
                </w:tcPr>
                <w:p>
                  <w:pPr>
                    <w:jc w:val="center"/>
                    <w:rPr>
                      <w:sz w:val="21"/>
                      <w:szCs w:val="21"/>
                    </w:rPr>
                  </w:pPr>
                  <w:r>
                    <w:rPr>
                      <w:sz w:val="21"/>
                      <w:szCs w:val="21"/>
                    </w:rPr>
                    <w:t>工程设计</w:t>
                  </w:r>
                  <w:r>
                    <w:rPr>
                      <w:rFonts w:hint="eastAsia"/>
                      <w:sz w:val="21"/>
                      <w:szCs w:val="21"/>
                    </w:rPr>
                    <w:t>，待落实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水土保持</w:t>
                  </w:r>
                </w:p>
              </w:tc>
              <w:tc>
                <w:tcPr>
                  <w:tcW w:w="3063" w:type="dxa"/>
                  <w:vAlign w:val="center"/>
                </w:tcPr>
                <w:p>
                  <w:pPr>
                    <w:jc w:val="center"/>
                    <w:rPr>
                      <w:sz w:val="21"/>
                      <w:szCs w:val="21"/>
                    </w:rPr>
                  </w:pPr>
                  <w:r>
                    <w:rPr>
                      <w:rFonts w:hint="eastAsia"/>
                      <w:sz w:val="21"/>
                      <w:szCs w:val="21"/>
                    </w:rPr>
                    <w:t>管沟两侧设置截排水沟</w:t>
                  </w:r>
                </w:p>
              </w:tc>
              <w:tc>
                <w:tcPr>
                  <w:tcW w:w="1038" w:type="dxa"/>
                  <w:vAlign w:val="center"/>
                </w:tcPr>
                <w:p>
                  <w:pPr>
                    <w:jc w:val="center"/>
                    <w:rPr>
                      <w:sz w:val="21"/>
                      <w:szCs w:val="21"/>
                    </w:rPr>
                  </w:pPr>
                  <w:r>
                    <w:rPr>
                      <w:rFonts w:hint="eastAsia"/>
                      <w:sz w:val="21"/>
                      <w:szCs w:val="21"/>
                    </w:rPr>
                    <w:t>5</w:t>
                  </w:r>
                </w:p>
              </w:tc>
              <w:tc>
                <w:tcPr>
                  <w:tcW w:w="1956" w:type="dxa"/>
                  <w:vAlign w:val="center"/>
                </w:tcPr>
                <w:p>
                  <w:pPr>
                    <w:jc w:val="center"/>
                    <w:rPr>
                      <w:sz w:val="21"/>
                      <w:szCs w:val="21"/>
                    </w:rPr>
                  </w:pPr>
                  <w:r>
                    <w:rPr>
                      <w:sz w:val="21"/>
                      <w:szCs w:val="21"/>
                    </w:rPr>
                    <w:t>环评新增</w:t>
                  </w:r>
                  <w:r>
                    <w:rPr>
                      <w:rFonts w:hint="eastAsia"/>
                      <w:sz w:val="21"/>
                      <w:szCs w:val="21"/>
                    </w:rPr>
                    <w:t>，待落实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restart"/>
                  <w:vAlign w:val="center"/>
                </w:tcPr>
                <w:p>
                  <w:pPr>
                    <w:jc w:val="center"/>
                    <w:rPr>
                      <w:sz w:val="21"/>
                      <w:szCs w:val="21"/>
                    </w:rPr>
                  </w:pPr>
                  <w:r>
                    <w:rPr>
                      <w:rFonts w:hint="eastAsia"/>
                      <w:sz w:val="21"/>
                      <w:szCs w:val="21"/>
                    </w:rPr>
                    <w:t>运营期</w:t>
                  </w:r>
                </w:p>
              </w:tc>
              <w:tc>
                <w:tcPr>
                  <w:tcW w:w="925" w:type="dxa"/>
                  <w:vMerge w:val="restart"/>
                  <w:vAlign w:val="center"/>
                </w:tcPr>
                <w:p>
                  <w:pPr>
                    <w:jc w:val="center"/>
                    <w:rPr>
                      <w:sz w:val="21"/>
                      <w:szCs w:val="21"/>
                    </w:rPr>
                  </w:pPr>
                  <w:r>
                    <w:rPr>
                      <w:rFonts w:hint="eastAsia"/>
                      <w:sz w:val="21"/>
                      <w:szCs w:val="21"/>
                    </w:rPr>
                    <w:t>污水处理厂及CWT站</w:t>
                  </w:r>
                </w:p>
              </w:tc>
              <w:tc>
                <w:tcPr>
                  <w:tcW w:w="1100" w:type="dxa"/>
                  <w:vAlign w:val="center"/>
                </w:tcPr>
                <w:p>
                  <w:pPr>
                    <w:jc w:val="center"/>
                    <w:rPr>
                      <w:sz w:val="21"/>
                      <w:szCs w:val="21"/>
                    </w:rPr>
                  </w:pPr>
                  <w:r>
                    <w:rPr>
                      <w:rFonts w:hint="eastAsia"/>
                      <w:sz w:val="21"/>
                      <w:szCs w:val="21"/>
                    </w:rPr>
                    <w:t>废气</w:t>
                  </w:r>
                </w:p>
              </w:tc>
              <w:tc>
                <w:tcPr>
                  <w:tcW w:w="3063" w:type="dxa"/>
                  <w:vAlign w:val="center"/>
                </w:tcPr>
                <w:p>
                  <w:pPr>
                    <w:rPr>
                      <w:sz w:val="21"/>
                      <w:szCs w:val="21"/>
                    </w:rPr>
                  </w:pPr>
                  <w:r>
                    <w:rPr>
                      <w:rFonts w:hint="eastAsia"/>
                      <w:sz w:val="21"/>
                      <w:szCs w:val="21"/>
                    </w:rPr>
                    <w:t>污水处理单元为半封闭式，污泥及时清运</w:t>
                  </w:r>
                </w:p>
              </w:tc>
              <w:tc>
                <w:tcPr>
                  <w:tcW w:w="1038" w:type="dxa"/>
                  <w:vAlign w:val="center"/>
                </w:tcPr>
                <w:p>
                  <w:pPr>
                    <w:jc w:val="center"/>
                    <w:rPr>
                      <w:sz w:val="21"/>
                      <w:szCs w:val="21"/>
                    </w:rPr>
                  </w:pPr>
                  <w:r>
                    <w:rPr>
                      <w:rFonts w:hint="eastAsia"/>
                      <w:sz w:val="21"/>
                      <w:szCs w:val="21"/>
                    </w:rPr>
                    <w:t>30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噪声</w:t>
                  </w:r>
                </w:p>
              </w:tc>
              <w:tc>
                <w:tcPr>
                  <w:tcW w:w="3063" w:type="dxa"/>
                  <w:vAlign w:val="center"/>
                </w:tcPr>
                <w:p>
                  <w:pPr>
                    <w:jc w:val="center"/>
                    <w:rPr>
                      <w:sz w:val="21"/>
                      <w:szCs w:val="21"/>
                    </w:rPr>
                  </w:pPr>
                  <w:r>
                    <w:rPr>
                      <w:rFonts w:hint="eastAsia"/>
                      <w:sz w:val="21"/>
                      <w:szCs w:val="21"/>
                    </w:rPr>
                    <w:t>基础减震、构筑物隔声、隔声系统</w:t>
                  </w:r>
                </w:p>
              </w:tc>
              <w:tc>
                <w:tcPr>
                  <w:tcW w:w="1038" w:type="dxa"/>
                  <w:vAlign w:val="center"/>
                </w:tcPr>
                <w:p>
                  <w:pPr>
                    <w:jc w:val="center"/>
                    <w:rPr>
                      <w:sz w:val="21"/>
                      <w:szCs w:val="21"/>
                    </w:rPr>
                  </w:pPr>
                  <w:r>
                    <w:rPr>
                      <w:rFonts w:hint="eastAsia"/>
                      <w:sz w:val="21"/>
                      <w:szCs w:val="21"/>
                    </w:rPr>
                    <w:t>30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固废</w:t>
                  </w:r>
                </w:p>
              </w:tc>
              <w:tc>
                <w:tcPr>
                  <w:tcW w:w="3063" w:type="dxa"/>
                  <w:vAlign w:val="center"/>
                </w:tcPr>
                <w:p>
                  <w:pPr>
                    <w:jc w:val="center"/>
                    <w:rPr>
                      <w:sz w:val="21"/>
                      <w:szCs w:val="21"/>
                    </w:rPr>
                  </w:pPr>
                  <w:r>
                    <w:rPr>
                      <w:rFonts w:hint="eastAsia"/>
                      <w:sz w:val="21"/>
                      <w:szCs w:val="21"/>
                    </w:rPr>
                    <w:t>格栅渣、污泥定期清运；废机油设置危废暂存间收集后，委托有资质单位处置</w:t>
                  </w:r>
                </w:p>
              </w:tc>
              <w:tc>
                <w:tcPr>
                  <w:tcW w:w="1038" w:type="dxa"/>
                  <w:vAlign w:val="center"/>
                </w:tcPr>
                <w:p>
                  <w:pPr>
                    <w:jc w:val="center"/>
                    <w:rPr>
                      <w:sz w:val="21"/>
                      <w:szCs w:val="21"/>
                    </w:rPr>
                  </w:pPr>
                  <w:r>
                    <w:rPr>
                      <w:rFonts w:hint="eastAsia"/>
                      <w:sz w:val="21"/>
                      <w:szCs w:val="21"/>
                    </w:rPr>
                    <w:t>15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地下水</w:t>
                  </w:r>
                </w:p>
              </w:tc>
              <w:tc>
                <w:tcPr>
                  <w:tcW w:w="3063" w:type="dxa"/>
                  <w:vAlign w:val="center"/>
                </w:tcPr>
                <w:p>
                  <w:pPr>
                    <w:jc w:val="center"/>
                    <w:rPr>
                      <w:sz w:val="21"/>
                      <w:szCs w:val="21"/>
                    </w:rPr>
                  </w:pPr>
                  <w:r>
                    <w:rPr>
                      <w:rFonts w:hint="eastAsia"/>
                      <w:sz w:val="21"/>
                      <w:szCs w:val="21"/>
                    </w:rPr>
                    <w:t>严格按照工程防渗设计要求施工，并加强日常管理及维护，同时在下游设置监测井</w:t>
                  </w:r>
                </w:p>
              </w:tc>
              <w:tc>
                <w:tcPr>
                  <w:tcW w:w="1038" w:type="dxa"/>
                  <w:vAlign w:val="center"/>
                </w:tcPr>
                <w:p>
                  <w:pPr>
                    <w:jc w:val="center"/>
                    <w:rPr>
                      <w:sz w:val="21"/>
                      <w:szCs w:val="21"/>
                    </w:rPr>
                  </w:pPr>
                  <w:r>
                    <w:rPr>
                      <w:rFonts w:hint="eastAsia"/>
                      <w:sz w:val="21"/>
                      <w:szCs w:val="21"/>
                    </w:rPr>
                    <w:t>50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环境风险</w:t>
                  </w:r>
                </w:p>
              </w:tc>
              <w:tc>
                <w:tcPr>
                  <w:tcW w:w="3063" w:type="dxa"/>
                  <w:vAlign w:val="center"/>
                </w:tcPr>
                <w:p>
                  <w:pPr>
                    <w:jc w:val="center"/>
                    <w:rPr>
                      <w:sz w:val="21"/>
                      <w:szCs w:val="21"/>
                    </w:rPr>
                  </w:pPr>
                  <w:r>
                    <w:rPr>
                      <w:rFonts w:hint="eastAsia"/>
                      <w:sz w:val="21"/>
                      <w:szCs w:val="21"/>
                    </w:rPr>
                    <w:t>药品间和危废暂存间地面和墙面进行防腐防渗处理，厂区内配备相关应急物资</w:t>
                  </w:r>
                </w:p>
              </w:tc>
              <w:tc>
                <w:tcPr>
                  <w:tcW w:w="1038" w:type="dxa"/>
                  <w:vAlign w:val="center"/>
                </w:tcPr>
                <w:p>
                  <w:pPr>
                    <w:jc w:val="center"/>
                    <w:rPr>
                      <w:sz w:val="21"/>
                      <w:szCs w:val="21"/>
                    </w:rPr>
                  </w:pPr>
                  <w:r>
                    <w:rPr>
                      <w:rFonts w:hint="eastAsia"/>
                      <w:sz w:val="21"/>
                      <w:szCs w:val="21"/>
                    </w:rPr>
                    <w:t>15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生态</w:t>
                  </w:r>
                </w:p>
              </w:tc>
              <w:tc>
                <w:tcPr>
                  <w:tcW w:w="3063" w:type="dxa"/>
                  <w:vAlign w:val="center"/>
                </w:tcPr>
                <w:p>
                  <w:pPr>
                    <w:jc w:val="center"/>
                    <w:rPr>
                      <w:sz w:val="21"/>
                      <w:szCs w:val="21"/>
                    </w:rPr>
                  </w:pPr>
                  <w:r>
                    <w:rPr>
                      <w:rFonts w:hint="eastAsia"/>
                      <w:sz w:val="21"/>
                      <w:szCs w:val="21"/>
                    </w:rPr>
                    <w:t>污水处理厂厂界建设绿化带</w:t>
                  </w:r>
                </w:p>
              </w:tc>
              <w:tc>
                <w:tcPr>
                  <w:tcW w:w="1038" w:type="dxa"/>
                  <w:vAlign w:val="center"/>
                </w:tcPr>
                <w:p>
                  <w:pPr>
                    <w:jc w:val="center"/>
                    <w:rPr>
                      <w:sz w:val="21"/>
                      <w:szCs w:val="21"/>
                    </w:rPr>
                  </w:pPr>
                  <w:r>
                    <w:rPr>
                      <w:rFonts w:hint="eastAsia"/>
                      <w:sz w:val="21"/>
                      <w:szCs w:val="21"/>
                    </w:rPr>
                    <w:t>15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97" w:type="dxa"/>
                  <w:gridSpan w:val="4"/>
                  <w:vAlign w:val="center"/>
                </w:tcPr>
                <w:p>
                  <w:pPr>
                    <w:jc w:val="center"/>
                    <w:rPr>
                      <w:sz w:val="21"/>
                      <w:szCs w:val="21"/>
                    </w:rPr>
                  </w:pPr>
                  <w:r>
                    <w:rPr>
                      <w:sz w:val="21"/>
                      <w:szCs w:val="21"/>
                    </w:rPr>
                    <w:t>合计</w:t>
                  </w:r>
                </w:p>
              </w:tc>
              <w:tc>
                <w:tcPr>
                  <w:tcW w:w="1038" w:type="dxa"/>
                  <w:vAlign w:val="center"/>
                </w:tcPr>
                <w:p>
                  <w:pPr>
                    <w:jc w:val="center"/>
                    <w:rPr>
                      <w:sz w:val="21"/>
                      <w:szCs w:val="21"/>
                    </w:rPr>
                  </w:pPr>
                  <w:r>
                    <w:rPr>
                      <w:rFonts w:hint="eastAsia"/>
                      <w:sz w:val="21"/>
                      <w:szCs w:val="21"/>
                    </w:rPr>
                    <w:t>242</w:t>
                  </w:r>
                </w:p>
              </w:tc>
              <w:tc>
                <w:tcPr>
                  <w:tcW w:w="1956" w:type="dxa"/>
                  <w:vAlign w:val="center"/>
                </w:tcPr>
                <w:p>
                  <w:pPr>
                    <w:jc w:val="center"/>
                    <w:rPr>
                      <w:sz w:val="21"/>
                      <w:szCs w:val="21"/>
                    </w:rPr>
                  </w:pPr>
                </w:p>
              </w:tc>
            </w:tr>
          </w:tbl>
          <w:p>
            <w:pPr>
              <w:adjustRightInd w:val="0"/>
              <w:snapToGrid w:val="0"/>
              <w:spacing w:line="360" w:lineRule="auto"/>
              <w:ind w:firstLine="480" w:firstLineChars="200"/>
              <w:rPr>
                <w:szCs w:val="24"/>
              </w:rPr>
            </w:pPr>
          </w:p>
          <w:p>
            <w:pPr>
              <w:spacing w:line="360" w:lineRule="auto"/>
            </w:pPr>
            <w:r>
              <w:pict>
                <v:line id="直线 1082" o:spid="_x0000_s2054" o:spt="20" style="position:absolute;left:0pt;margin-left:-6pt;margin-top:8.3pt;height:0.05pt;width:441.6pt;z-index:251661312;mso-width-relative:page;mso-height-relative:page;" filled="t" coordsize="21600,21600">
                  <v:path arrowok="t"/>
                  <v:fill on="t" focussize="0,0"/>
                  <v:stroke/>
                  <v:imagedata o:title=""/>
                  <o:lock v:ext="edit"/>
                </v:line>
              </w:pict>
            </w:r>
          </w:p>
          <w:p>
            <w:pPr>
              <w:adjustRightInd w:val="0"/>
              <w:snapToGrid w:val="0"/>
              <w:spacing w:line="360" w:lineRule="auto"/>
              <w:rPr>
                <w:b/>
                <w:sz w:val="28"/>
                <w:szCs w:val="28"/>
              </w:rPr>
            </w:pPr>
            <w:r>
              <w:rPr>
                <w:b/>
                <w:sz w:val="28"/>
                <w:szCs w:val="28"/>
              </w:rPr>
              <w:t>与本项目有关的原有污染情况及主要环境问题：</w:t>
            </w:r>
          </w:p>
          <w:p>
            <w:pPr>
              <w:adjustRightInd w:val="0"/>
              <w:snapToGrid w:val="0"/>
              <w:spacing w:line="360" w:lineRule="auto"/>
              <w:ind w:firstLine="482" w:firstLineChars="200"/>
              <w:rPr>
                <w:szCs w:val="24"/>
              </w:rPr>
            </w:pPr>
            <w:r>
              <w:rPr>
                <w:rFonts w:hint="eastAsia"/>
                <w:b/>
                <w:bCs/>
                <w:szCs w:val="24"/>
              </w:rPr>
              <w:t>（一）原有工程污染物排放情况</w:t>
            </w:r>
          </w:p>
          <w:p>
            <w:pPr>
              <w:adjustRightInd w:val="0"/>
              <w:snapToGrid w:val="0"/>
              <w:spacing w:line="360" w:lineRule="auto"/>
              <w:ind w:firstLine="482" w:firstLineChars="200"/>
              <w:rPr>
                <w:b/>
                <w:bCs/>
                <w:szCs w:val="24"/>
              </w:rPr>
            </w:pPr>
            <w:r>
              <w:rPr>
                <w:rFonts w:hint="eastAsia"/>
                <w:b/>
                <w:bCs/>
                <w:szCs w:val="24"/>
              </w:rPr>
              <w:t>1、邓川污水处理厂</w:t>
            </w:r>
          </w:p>
          <w:p>
            <w:pPr>
              <w:adjustRightInd w:val="0"/>
              <w:snapToGrid w:val="0"/>
              <w:spacing w:line="360" w:lineRule="auto"/>
              <w:ind w:firstLine="480" w:firstLineChars="200"/>
              <w:rPr>
                <w:b/>
                <w:bCs/>
                <w:szCs w:val="24"/>
              </w:rPr>
            </w:pPr>
            <w:r>
              <w:rPr>
                <w:rFonts w:hint="eastAsia"/>
                <w:szCs w:val="24"/>
              </w:rPr>
              <w:t>邓川污水处理厂于2009年12月开工建设，2012年5月竣工进入试运行，2012年8月开始正常运营。根据《洱源县邓川镇污水处理厂及配套管网工程项目竣工环境保护验收监测表》，各污染物排放如下：</w:t>
            </w:r>
          </w:p>
          <w:p>
            <w:pPr>
              <w:adjustRightInd w:val="0"/>
              <w:snapToGrid w:val="0"/>
              <w:spacing w:line="360" w:lineRule="auto"/>
              <w:ind w:firstLine="482" w:firstLineChars="200"/>
              <w:rPr>
                <w:b/>
                <w:bCs/>
              </w:rPr>
            </w:pPr>
            <w:r>
              <w:rPr>
                <w:rFonts w:hint="eastAsia"/>
                <w:b/>
                <w:bCs/>
                <w:szCs w:val="24"/>
              </w:rPr>
              <w:t>（1）废水</w:t>
            </w:r>
          </w:p>
          <w:p>
            <w:pPr>
              <w:pStyle w:val="13"/>
              <w:tabs>
                <w:tab w:val="left" w:pos="0"/>
              </w:tabs>
              <w:adjustRightInd w:val="0"/>
              <w:snapToGrid w:val="0"/>
              <w:spacing w:line="360" w:lineRule="auto"/>
              <w:ind w:firstLine="480" w:firstLineChars="200"/>
            </w:pPr>
            <w:r>
              <w:rPr>
                <w:rFonts w:hint="eastAsia"/>
              </w:rPr>
              <w:t>污水处理厂处理的废水有生活污水、污泥脱水机反冲洗废水，这两股废水由厂区排水管网进入污水泵房混合后再处理，尾水排入湿地，经湿地净化系统处理后排入周围农田。2015年11月24日~26日，昆明绿岛环境科技有限公司对污水处理厂进出口水质进行了验收监测。项目验收监测期间，邓川污水处理厂出水口各污染物检测结果均达到《城镇污水处理厂污染物排放标准》（GB18918-2002）表1中规定的1级A标准限值。其主要污染物排情况为COD：29.93t/a，TN：1.679t/a，氨氮：0.3358t/a，总磷：0.1197t/a。</w:t>
            </w:r>
          </w:p>
          <w:p>
            <w:pPr>
              <w:adjustRightInd w:val="0"/>
              <w:snapToGrid w:val="0"/>
              <w:spacing w:line="360" w:lineRule="auto"/>
              <w:ind w:firstLine="482" w:firstLineChars="200"/>
              <w:rPr>
                <w:b/>
                <w:bCs/>
                <w:szCs w:val="24"/>
              </w:rPr>
            </w:pPr>
            <w:r>
              <w:rPr>
                <w:rFonts w:hint="eastAsia"/>
                <w:b/>
                <w:bCs/>
                <w:szCs w:val="24"/>
              </w:rPr>
              <w:t>（2）废气</w:t>
            </w:r>
          </w:p>
          <w:p>
            <w:pPr>
              <w:adjustRightInd w:val="0"/>
              <w:snapToGrid w:val="0"/>
              <w:spacing w:line="360" w:lineRule="auto"/>
              <w:ind w:firstLine="480"/>
            </w:pPr>
            <w:r>
              <w:rPr>
                <w:rFonts w:hint="eastAsia"/>
                <w:szCs w:val="24"/>
              </w:rPr>
              <w:t>污水处理厂运行后，由于污水再生化过程中繁殖分解水中有机物，特别是厌氧分解时会产生一定数量的氨气、硫化氢、甲硫醇等恶臭气体，产生这些物质的构筑物有氧化沟、格栅及进水泵房、沉砂池、污泥脱水机房等，为无组织排放</w:t>
            </w:r>
            <w:r>
              <w:rPr>
                <w:szCs w:val="24"/>
              </w:rPr>
              <w:t>。</w:t>
            </w:r>
            <w:r>
              <w:rPr>
                <w:rFonts w:hint="eastAsia"/>
                <w:color w:val="FF0000"/>
                <w:szCs w:val="24"/>
              </w:rPr>
              <w:t>根据</w:t>
            </w:r>
            <w:r>
              <w:rPr>
                <w:rFonts w:hint="eastAsia"/>
                <w:color w:val="FF0000"/>
              </w:rPr>
              <w:t>2015年11月24日~26日，昆明绿岛环境科技有限公司对污水处理厂厂界无组织废气进行了验收监测。项目验收监测期间，厂界无组织废气硫化氢浓度最大值为5.43×10</w:t>
            </w:r>
            <w:r>
              <w:rPr>
                <w:rFonts w:hint="eastAsia"/>
                <w:color w:val="FF0000"/>
                <w:vertAlign w:val="superscript"/>
              </w:rPr>
              <w:t>-3</w:t>
            </w:r>
            <w:r>
              <w:rPr>
                <w:rFonts w:hint="eastAsia"/>
                <w:color w:val="FF0000"/>
              </w:rPr>
              <w:t>~7.71×10</w:t>
            </w:r>
            <w:r>
              <w:rPr>
                <w:rFonts w:hint="eastAsia"/>
                <w:color w:val="FF0000"/>
                <w:vertAlign w:val="superscript"/>
              </w:rPr>
              <w:t>-3</w:t>
            </w:r>
            <w:r>
              <w:rPr>
                <w:rFonts w:hint="eastAsia"/>
                <w:color w:val="FF0000"/>
              </w:rPr>
              <w:t>mg/m</w:t>
            </w:r>
            <w:r>
              <w:rPr>
                <w:rFonts w:hint="eastAsia"/>
                <w:color w:val="FF0000"/>
                <w:vertAlign w:val="superscript"/>
              </w:rPr>
              <w:t>3</w:t>
            </w:r>
            <w:r>
              <w:rPr>
                <w:rFonts w:hint="eastAsia"/>
                <w:color w:val="FF0000"/>
              </w:rPr>
              <w:t>，氨气浓度最大值为0.038~0.126mg/m</w:t>
            </w:r>
            <w:r>
              <w:rPr>
                <w:rFonts w:hint="eastAsia"/>
                <w:color w:val="FF0000"/>
                <w:vertAlign w:val="superscript"/>
              </w:rPr>
              <w:t>3</w:t>
            </w:r>
            <w:r>
              <w:rPr>
                <w:rFonts w:hint="eastAsia"/>
                <w:color w:val="FF0000"/>
              </w:rPr>
              <w:t>，臭气浓度为17，各污染物均能够达到《城镇污水处理厂污染物排放标准》（GB18918-2002）表4中二级标准要求，即：厂界无组织废气能够达标排放。</w:t>
            </w:r>
          </w:p>
          <w:p>
            <w:pPr>
              <w:adjustRightInd w:val="0"/>
              <w:snapToGrid w:val="0"/>
              <w:spacing w:line="360" w:lineRule="auto"/>
              <w:ind w:firstLine="480"/>
              <w:rPr>
                <w:szCs w:val="24"/>
              </w:rPr>
            </w:pPr>
            <w:r>
              <w:rPr>
                <w:szCs w:val="24"/>
              </w:rPr>
              <w:t xml:space="preserve"> </w:t>
            </w:r>
            <w:r>
              <w:rPr>
                <w:rFonts w:hint="eastAsia"/>
                <w:b/>
                <w:bCs/>
                <w:szCs w:val="24"/>
              </w:rPr>
              <w:t>（3）噪声</w:t>
            </w:r>
          </w:p>
          <w:p>
            <w:pPr>
              <w:adjustRightInd w:val="0"/>
              <w:snapToGrid w:val="0"/>
              <w:spacing w:line="360" w:lineRule="auto"/>
              <w:ind w:firstLine="480" w:firstLineChars="200"/>
              <w:rPr>
                <w:szCs w:val="24"/>
                <w:lang w:val="zh-CN"/>
              </w:rPr>
            </w:pPr>
            <w:r>
              <w:rPr>
                <w:szCs w:val="24"/>
              </w:rPr>
              <w:t>项目运行期主要噪声源为泵类、鼓风机、浓缩脱水机、空压机等</w:t>
            </w:r>
            <w:r>
              <w:rPr>
                <w:rFonts w:hint="eastAsia"/>
                <w:szCs w:val="24"/>
              </w:rPr>
              <w:t>机械设备噪声。根据验收监测结果，邓川污水处理厂昼夜间噪声排均达到 《工业企业厂界环境噪声排放标准》（GB12348—2008）2</w:t>
            </w:r>
            <w:r>
              <w:rPr>
                <w:rFonts w:hint="eastAsia"/>
                <w:szCs w:val="24"/>
                <w:lang w:val="zh-CN"/>
              </w:rPr>
              <w:t>类区标准，具体噪声值如下：</w:t>
            </w:r>
          </w:p>
          <w:p>
            <w:pPr>
              <w:pStyle w:val="23"/>
              <w:adjustRightInd w:val="0"/>
              <w:spacing w:line="360" w:lineRule="auto"/>
              <w:jc w:val="center"/>
              <w:rPr>
                <w:b/>
                <w:bCs/>
                <w:sz w:val="21"/>
                <w:szCs w:val="21"/>
              </w:rPr>
            </w:pPr>
            <w:r>
              <w:rPr>
                <w:rFonts w:hint="eastAsia"/>
                <w:b/>
                <w:bCs/>
                <w:sz w:val="21"/>
                <w:szCs w:val="21"/>
              </w:rPr>
              <w:t>表1-16 邓川污水厂</w:t>
            </w:r>
            <w:r>
              <w:rPr>
                <w:b/>
                <w:bCs/>
                <w:sz w:val="21"/>
                <w:szCs w:val="21"/>
              </w:rPr>
              <w:t>厂界噪声</w:t>
            </w:r>
            <w:r>
              <w:rPr>
                <w:rFonts w:hint="eastAsia"/>
                <w:b/>
                <w:bCs/>
                <w:sz w:val="21"/>
                <w:szCs w:val="21"/>
              </w:rPr>
              <w:t>监测</w:t>
            </w:r>
            <w:r>
              <w:rPr>
                <w:b/>
                <w:bCs/>
                <w:sz w:val="21"/>
                <w:szCs w:val="21"/>
              </w:rPr>
              <w:t>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880"/>
              <w:gridCol w:w="1533"/>
              <w:gridCol w:w="1519"/>
              <w:gridCol w:w="154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880" w:type="dxa"/>
                  <w:vMerge w:val="restart"/>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052" w:type="dxa"/>
                  <w:gridSpan w:val="2"/>
                  <w:vAlign w:val="center"/>
                </w:tcPr>
                <w:p>
                  <w:pPr>
                    <w:ind w:left="-72" w:leftChars="-30" w:right="-72" w:rightChars="-30"/>
                    <w:jc w:val="center"/>
                    <w:rPr>
                      <w:b/>
                      <w:bCs/>
                      <w:spacing w:val="-8"/>
                      <w:sz w:val="21"/>
                      <w:szCs w:val="21"/>
                    </w:rPr>
                  </w:pPr>
                  <w:r>
                    <w:rPr>
                      <w:b/>
                      <w:bCs/>
                      <w:spacing w:val="-8"/>
                      <w:sz w:val="21"/>
                      <w:szCs w:val="21"/>
                    </w:rPr>
                    <w:t>Leq (A) 值[dB (A)]</w:t>
                  </w:r>
                </w:p>
              </w:tc>
              <w:tc>
                <w:tcPr>
                  <w:tcW w:w="1548" w:type="dxa"/>
                  <w:vMerge w:val="restart"/>
                  <w:vAlign w:val="center"/>
                </w:tcPr>
                <w:p>
                  <w:pPr>
                    <w:jc w:val="center"/>
                    <w:rPr>
                      <w:b/>
                      <w:bCs/>
                      <w:sz w:val="21"/>
                      <w:szCs w:val="21"/>
                    </w:rPr>
                  </w:pPr>
                  <w:r>
                    <w:rPr>
                      <w:b/>
                      <w:bCs/>
                      <w:sz w:val="21"/>
                      <w:szCs w:val="21"/>
                    </w:rPr>
                    <w:t>主要声源说明</w:t>
                  </w:r>
                </w:p>
              </w:tc>
              <w:tc>
                <w:tcPr>
                  <w:tcW w:w="1410" w:type="dxa"/>
                  <w:vMerge w:val="restart"/>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vAlign w:val="center"/>
                </w:tcPr>
                <w:p>
                  <w:pPr>
                    <w:ind w:left="-48" w:leftChars="-20" w:right="-48" w:rightChars="-20"/>
                    <w:jc w:val="center"/>
                    <w:rPr>
                      <w:b/>
                      <w:bCs/>
                      <w:spacing w:val="-8"/>
                      <w:sz w:val="21"/>
                      <w:szCs w:val="21"/>
                    </w:rPr>
                  </w:pPr>
                  <w:r>
                    <w:rPr>
                      <w:b/>
                      <w:bCs/>
                      <w:spacing w:val="-8"/>
                      <w:sz w:val="21"/>
                      <w:szCs w:val="21"/>
                    </w:rPr>
                    <w:t>昼间</w:t>
                  </w:r>
                </w:p>
              </w:tc>
              <w:tc>
                <w:tcPr>
                  <w:tcW w:w="1519" w:type="dxa"/>
                  <w:vAlign w:val="center"/>
                </w:tcPr>
                <w:p>
                  <w:pPr>
                    <w:ind w:left="-48" w:leftChars="-20" w:right="-48" w:rightChars="-20"/>
                    <w:jc w:val="center"/>
                    <w:rPr>
                      <w:b/>
                      <w:bCs/>
                      <w:spacing w:val="-8"/>
                      <w:sz w:val="21"/>
                      <w:szCs w:val="21"/>
                    </w:rPr>
                  </w:pPr>
                  <w:r>
                    <w:rPr>
                      <w:b/>
                      <w:bCs/>
                      <w:spacing w:val="-8"/>
                      <w:sz w:val="21"/>
                      <w:szCs w:val="21"/>
                    </w:rPr>
                    <w:t>夜间</w:t>
                  </w:r>
                </w:p>
              </w:tc>
              <w:tc>
                <w:tcPr>
                  <w:tcW w:w="1548" w:type="dxa"/>
                  <w:vMerge w:val="continue"/>
                  <w:vAlign w:val="center"/>
                </w:tcPr>
                <w:p>
                  <w:pPr>
                    <w:jc w:val="center"/>
                    <w:rPr>
                      <w:b/>
                      <w:bCs/>
                      <w:sz w:val="21"/>
                      <w:szCs w:val="21"/>
                    </w:rPr>
                  </w:pPr>
                </w:p>
              </w:tc>
              <w:tc>
                <w:tcPr>
                  <w:tcW w:w="1410" w:type="dxa"/>
                  <w:vMerge w:val="continue"/>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w:t>
                  </w:r>
                  <w:r>
                    <w:rPr>
                      <w:rFonts w:hint="eastAsia"/>
                      <w:sz w:val="21"/>
                      <w:szCs w:val="21"/>
                    </w:rPr>
                    <w:t>5</w:t>
                  </w:r>
                  <w:r>
                    <w:rPr>
                      <w:sz w:val="21"/>
                      <w:szCs w:val="21"/>
                    </w:rPr>
                    <w:t>年</w:t>
                  </w:r>
                </w:p>
                <w:p>
                  <w:pPr>
                    <w:jc w:val="center"/>
                    <w:rPr>
                      <w:sz w:val="21"/>
                      <w:szCs w:val="21"/>
                    </w:rPr>
                  </w:pPr>
                  <w:r>
                    <w:rPr>
                      <w:sz w:val="21"/>
                      <w:szCs w:val="21"/>
                    </w:rPr>
                    <w:t>1</w:t>
                  </w:r>
                  <w:r>
                    <w:rPr>
                      <w:rFonts w:hint="eastAsia"/>
                      <w:sz w:val="21"/>
                      <w:szCs w:val="21"/>
                    </w:rPr>
                    <w:t>1</w:t>
                  </w:r>
                  <w:r>
                    <w:rPr>
                      <w:sz w:val="21"/>
                      <w:szCs w:val="21"/>
                    </w:rPr>
                    <w:t>月</w:t>
                  </w:r>
                  <w:r>
                    <w:rPr>
                      <w:rFonts w:hint="eastAsia"/>
                      <w:sz w:val="21"/>
                      <w:szCs w:val="21"/>
                    </w:rPr>
                    <w:t>2</w:t>
                  </w:r>
                  <w:r>
                    <w:rPr>
                      <w:sz w:val="21"/>
                      <w:szCs w:val="21"/>
                    </w:rPr>
                    <w:t>4日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rFonts w:hint="eastAsia"/>
                      <w:sz w:val="21"/>
                      <w:szCs w:val="21"/>
                    </w:rPr>
                    <w:t>49.2</w:t>
                  </w:r>
                </w:p>
              </w:tc>
              <w:tc>
                <w:tcPr>
                  <w:tcW w:w="1519" w:type="dxa"/>
                  <w:vAlign w:val="center"/>
                </w:tcPr>
                <w:p>
                  <w:pPr>
                    <w:jc w:val="center"/>
                    <w:textAlignment w:val="center"/>
                    <w:rPr>
                      <w:sz w:val="21"/>
                      <w:szCs w:val="21"/>
                    </w:rPr>
                  </w:pPr>
                  <w:r>
                    <w:rPr>
                      <w:rFonts w:hint="eastAsia"/>
                      <w:sz w:val="21"/>
                      <w:szCs w:val="21"/>
                    </w:rPr>
                    <w:t>46.7</w:t>
                  </w:r>
                </w:p>
              </w:tc>
              <w:tc>
                <w:tcPr>
                  <w:tcW w:w="1548" w:type="dxa"/>
                  <w:vMerge w:val="restart"/>
                  <w:vAlign w:val="center"/>
                </w:tcPr>
                <w:p>
                  <w:pPr>
                    <w:jc w:val="center"/>
                    <w:rPr>
                      <w:sz w:val="21"/>
                      <w:szCs w:val="21"/>
                    </w:rPr>
                  </w:pPr>
                  <w:r>
                    <w:rPr>
                      <w:sz w:val="21"/>
                      <w:szCs w:val="21"/>
                    </w:rPr>
                    <w:t>鼓风机、泵等设备噪声</w:t>
                  </w:r>
                </w:p>
              </w:tc>
              <w:tc>
                <w:tcPr>
                  <w:tcW w:w="1410" w:type="dxa"/>
                  <w:vMerge w:val="restart"/>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rFonts w:hint="eastAsia"/>
                      <w:sz w:val="21"/>
                      <w:szCs w:val="21"/>
                    </w:rPr>
                    <w:t>52.3</w:t>
                  </w:r>
                </w:p>
              </w:tc>
              <w:tc>
                <w:tcPr>
                  <w:tcW w:w="1519" w:type="dxa"/>
                  <w:vAlign w:val="center"/>
                </w:tcPr>
                <w:p>
                  <w:pPr>
                    <w:jc w:val="center"/>
                    <w:textAlignment w:val="center"/>
                    <w:rPr>
                      <w:sz w:val="21"/>
                      <w:szCs w:val="21"/>
                    </w:rPr>
                  </w:pPr>
                  <w:r>
                    <w:rPr>
                      <w:rFonts w:hint="eastAsia"/>
                      <w:sz w:val="21"/>
                      <w:szCs w:val="21"/>
                    </w:rPr>
                    <w:t>47.3</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rFonts w:hint="eastAsia"/>
                      <w:sz w:val="21"/>
                      <w:szCs w:val="21"/>
                    </w:rPr>
                    <w:t>48.0</w:t>
                  </w:r>
                </w:p>
              </w:tc>
              <w:tc>
                <w:tcPr>
                  <w:tcW w:w="1519" w:type="dxa"/>
                  <w:vAlign w:val="center"/>
                </w:tcPr>
                <w:p>
                  <w:pPr>
                    <w:jc w:val="center"/>
                    <w:textAlignment w:val="center"/>
                    <w:rPr>
                      <w:sz w:val="21"/>
                      <w:szCs w:val="21"/>
                    </w:rPr>
                  </w:pPr>
                  <w:r>
                    <w:rPr>
                      <w:rFonts w:hint="eastAsia"/>
                      <w:sz w:val="21"/>
                      <w:szCs w:val="21"/>
                    </w:rPr>
                    <w:t>48.5</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rFonts w:hint="eastAsia"/>
                      <w:sz w:val="21"/>
                      <w:szCs w:val="21"/>
                    </w:rPr>
                    <w:t>47.8</w:t>
                  </w:r>
                </w:p>
              </w:tc>
              <w:tc>
                <w:tcPr>
                  <w:tcW w:w="1519" w:type="dxa"/>
                  <w:vAlign w:val="center"/>
                </w:tcPr>
                <w:p>
                  <w:pPr>
                    <w:jc w:val="center"/>
                    <w:textAlignment w:val="center"/>
                    <w:rPr>
                      <w:sz w:val="21"/>
                      <w:szCs w:val="21"/>
                    </w:rPr>
                  </w:pPr>
                  <w:r>
                    <w:rPr>
                      <w:rFonts w:hint="eastAsia"/>
                      <w:sz w:val="21"/>
                      <w:szCs w:val="21"/>
                    </w:rPr>
                    <w:t>46.0</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w:t>
                  </w:r>
                  <w:r>
                    <w:rPr>
                      <w:rFonts w:hint="eastAsia"/>
                      <w:sz w:val="21"/>
                      <w:szCs w:val="21"/>
                    </w:rPr>
                    <w:t>5</w:t>
                  </w:r>
                  <w:r>
                    <w:rPr>
                      <w:sz w:val="21"/>
                      <w:szCs w:val="21"/>
                    </w:rPr>
                    <w:t>年</w:t>
                  </w:r>
                </w:p>
                <w:p>
                  <w:pPr>
                    <w:jc w:val="center"/>
                    <w:rPr>
                      <w:sz w:val="21"/>
                      <w:szCs w:val="21"/>
                    </w:rPr>
                  </w:pPr>
                  <w:r>
                    <w:rPr>
                      <w:sz w:val="21"/>
                      <w:szCs w:val="21"/>
                    </w:rPr>
                    <w:t>1</w:t>
                  </w:r>
                  <w:r>
                    <w:rPr>
                      <w:rFonts w:hint="eastAsia"/>
                      <w:sz w:val="21"/>
                      <w:szCs w:val="21"/>
                    </w:rPr>
                    <w:t>1</w:t>
                  </w:r>
                  <w:r>
                    <w:rPr>
                      <w:sz w:val="21"/>
                      <w:szCs w:val="21"/>
                    </w:rPr>
                    <w:t>月</w:t>
                  </w:r>
                  <w:r>
                    <w:rPr>
                      <w:rFonts w:hint="eastAsia"/>
                      <w:sz w:val="21"/>
                      <w:szCs w:val="21"/>
                    </w:rPr>
                    <w:t>2</w:t>
                  </w:r>
                  <w:r>
                    <w:rPr>
                      <w:sz w:val="21"/>
                      <w:szCs w:val="21"/>
                    </w:rPr>
                    <w:t>5日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rFonts w:hint="eastAsia"/>
                      <w:sz w:val="21"/>
                      <w:szCs w:val="21"/>
                    </w:rPr>
                    <w:t>48.6</w:t>
                  </w:r>
                </w:p>
              </w:tc>
              <w:tc>
                <w:tcPr>
                  <w:tcW w:w="1519" w:type="dxa"/>
                  <w:vAlign w:val="center"/>
                </w:tcPr>
                <w:p>
                  <w:pPr>
                    <w:jc w:val="center"/>
                    <w:textAlignment w:val="center"/>
                    <w:rPr>
                      <w:sz w:val="21"/>
                      <w:szCs w:val="21"/>
                    </w:rPr>
                  </w:pPr>
                  <w:r>
                    <w:rPr>
                      <w:rFonts w:hint="eastAsia"/>
                      <w:sz w:val="21"/>
                      <w:szCs w:val="21"/>
                    </w:rPr>
                    <w:t>47.3</w:t>
                  </w:r>
                </w:p>
              </w:tc>
              <w:tc>
                <w:tcPr>
                  <w:tcW w:w="1548" w:type="dxa"/>
                  <w:vMerge w:val="restart"/>
                  <w:vAlign w:val="center"/>
                </w:tcPr>
                <w:p>
                  <w:pPr>
                    <w:jc w:val="center"/>
                    <w:rPr>
                      <w:sz w:val="21"/>
                      <w:szCs w:val="21"/>
                    </w:rPr>
                  </w:pPr>
                  <w:r>
                    <w:rPr>
                      <w:sz w:val="21"/>
                      <w:szCs w:val="21"/>
                    </w:rPr>
                    <w:t>鼓风机、泵等设备噪声</w:t>
                  </w:r>
                </w:p>
              </w:tc>
              <w:tc>
                <w:tcPr>
                  <w:tcW w:w="1410" w:type="dxa"/>
                  <w:vMerge w:val="restart"/>
                  <w:vAlign w:val="center"/>
                </w:tcPr>
                <w:p>
                  <w:pPr>
                    <w:jc w:val="center"/>
                    <w:rPr>
                      <w:sz w:val="21"/>
                      <w:szCs w:val="21"/>
                    </w:rPr>
                  </w:pPr>
                  <w:r>
                    <w:rPr>
                      <w:sz w:val="21"/>
                      <w:szCs w:val="21"/>
                    </w:rPr>
                    <w:t>达标</w:t>
                  </w:r>
                </w:p>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rFonts w:hint="eastAsia"/>
                      <w:sz w:val="21"/>
                      <w:szCs w:val="21"/>
                    </w:rPr>
                    <w:t>50.6</w:t>
                  </w:r>
                </w:p>
              </w:tc>
              <w:tc>
                <w:tcPr>
                  <w:tcW w:w="1519" w:type="dxa"/>
                  <w:vAlign w:val="center"/>
                </w:tcPr>
                <w:p>
                  <w:pPr>
                    <w:jc w:val="center"/>
                    <w:textAlignment w:val="center"/>
                    <w:rPr>
                      <w:sz w:val="21"/>
                      <w:szCs w:val="21"/>
                    </w:rPr>
                  </w:pPr>
                  <w:r>
                    <w:rPr>
                      <w:rFonts w:hint="eastAsia"/>
                      <w:sz w:val="21"/>
                      <w:szCs w:val="21"/>
                    </w:rPr>
                    <w:t>46.9</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rFonts w:hint="eastAsia"/>
                      <w:sz w:val="21"/>
                      <w:szCs w:val="21"/>
                    </w:rPr>
                    <w:t>50.0</w:t>
                  </w:r>
                </w:p>
              </w:tc>
              <w:tc>
                <w:tcPr>
                  <w:tcW w:w="1519" w:type="dxa"/>
                  <w:vAlign w:val="center"/>
                </w:tcPr>
                <w:p>
                  <w:pPr>
                    <w:jc w:val="center"/>
                    <w:textAlignment w:val="center"/>
                    <w:rPr>
                      <w:sz w:val="21"/>
                      <w:szCs w:val="21"/>
                    </w:rPr>
                  </w:pPr>
                  <w:r>
                    <w:rPr>
                      <w:rFonts w:hint="eastAsia"/>
                      <w:sz w:val="21"/>
                      <w:szCs w:val="21"/>
                    </w:rPr>
                    <w:t>46.6</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rFonts w:hint="eastAsia"/>
                      <w:sz w:val="21"/>
                      <w:szCs w:val="21"/>
                    </w:rPr>
                    <w:t>50.1</w:t>
                  </w:r>
                </w:p>
              </w:tc>
              <w:tc>
                <w:tcPr>
                  <w:tcW w:w="1519" w:type="dxa"/>
                  <w:vAlign w:val="center"/>
                </w:tcPr>
                <w:p>
                  <w:pPr>
                    <w:jc w:val="center"/>
                    <w:textAlignment w:val="center"/>
                    <w:rPr>
                      <w:sz w:val="21"/>
                      <w:szCs w:val="21"/>
                    </w:rPr>
                  </w:pPr>
                  <w:r>
                    <w:rPr>
                      <w:rFonts w:hint="eastAsia"/>
                      <w:sz w:val="21"/>
                      <w:szCs w:val="21"/>
                    </w:rPr>
                    <w:t>45.7</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bl>
          <w:p>
            <w:pPr>
              <w:spacing w:line="360" w:lineRule="auto"/>
              <w:ind w:firstLine="482" w:firstLineChars="200"/>
              <w:rPr>
                <w:b/>
                <w:bCs/>
                <w:szCs w:val="24"/>
              </w:rPr>
            </w:pPr>
            <w:r>
              <w:rPr>
                <w:rFonts w:hint="eastAsia"/>
                <w:b/>
                <w:bCs/>
                <w:szCs w:val="24"/>
              </w:rPr>
              <w:t>（4）固体废物</w:t>
            </w:r>
          </w:p>
          <w:p>
            <w:pPr>
              <w:spacing w:line="360" w:lineRule="auto"/>
              <w:ind w:firstLine="480" w:firstLineChars="200"/>
              <w:rPr>
                <w:b/>
                <w:bCs/>
                <w:szCs w:val="24"/>
              </w:rPr>
            </w:pPr>
            <w:r>
              <w:rPr>
                <w:rFonts w:hint="eastAsia"/>
                <w:szCs w:val="24"/>
              </w:rPr>
              <w:t>项目</w:t>
            </w:r>
            <w:r>
              <w:rPr>
                <w:szCs w:val="24"/>
              </w:rPr>
              <w:t>运行期</w:t>
            </w:r>
            <w:r>
              <w:rPr>
                <w:rFonts w:hint="eastAsia"/>
                <w:szCs w:val="24"/>
              </w:rPr>
              <w:t>产生的</w:t>
            </w:r>
            <w:r>
              <w:rPr>
                <w:szCs w:val="24"/>
              </w:rPr>
              <w:t>固体废物主要包括栅渣、沉砂、污泥和职工生活垃圾</w:t>
            </w:r>
            <w:r>
              <w:rPr>
                <w:rFonts w:hint="eastAsia"/>
                <w:szCs w:val="24"/>
              </w:rPr>
              <w:t>。项目产生固废（污泥和生活垃圾）由专人专车定期清运至洱源县军马场进行卫生填埋处理，固废处置率100%。</w:t>
            </w:r>
          </w:p>
          <w:p>
            <w:pPr>
              <w:spacing w:line="360" w:lineRule="auto"/>
              <w:ind w:firstLine="482" w:firstLineChars="200"/>
              <w:rPr>
                <w:b/>
                <w:bCs/>
                <w:szCs w:val="24"/>
              </w:rPr>
            </w:pPr>
            <w:r>
              <w:rPr>
                <w:rFonts w:hint="eastAsia"/>
                <w:b/>
                <w:bCs/>
                <w:szCs w:val="24"/>
              </w:rPr>
              <w:t>2、右所污水处理厂</w:t>
            </w:r>
          </w:p>
          <w:p>
            <w:pPr>
              <w:spacing w:line="360" w:lineRule="auto"/>
              <w:ind w:firstLine="480" w:firstLineChars="200"/>
              <w:rPr>
                <w:b/>
                <w:bCs/>
                <w:szCs w:val="24"/>
              </w:rPr>
            </w:pPr>
            <w:r>
              <w:rPr>
                <w:rFonts w:hint="eastAsia"/>
                <w:szCs w:val="24"/>
              </w:rPr>
              <w:t>右所</w:t>
            </w:r>
            <w:r>
              <w:rPr>
                <w:szCs w:val="24"/>
              </w:rPr>
              <w:t>项目于201</w:t>
            </w:r>
            <w:r>
              <w:rPr>
                <w:rFonts w:hint="eastAsia"/>
                <w:szCs w:val="24"/>
              </w:rPr>
              <w:t>1</w:t>
            </w:r>
            <w:r>
              <w:rPr>
                <w:szCs w:val="24"/>
              </w:rPr>
              <w:t>年开始建设，201</w:t>
            </w:r>
            <w:r>
              <w:rPr>
                <w:rFonts w:hint="eastAsia"/>
                <w:szCs w:val="24"/>
              </w:rPr>
              <w:t>5</w:t>
            </w:r>
            <w:r>
              <w:rPr>
                <w:szCs w:val="24"/>
              </w:rPr>
              <w:t>年</w:t>
            </w:r>
            <w:r>
              <w:rPr>
                <w:rFonts w:hint="eastAsia"/>
                <w:szCs w:val="24"/>
              </w:rPr>
              <w:t>12</w:t>
            </w:r>
            <w:r>
              <w:rPr>
                <w:szCs w:val="24"/>
              </w:rPr>
              <w:t>月进入试运行</w:t>
            </w:r>
            <w:r>
              <w:rPr>
                <w:rFonts w:hint="eastAsia"/>
                <w:szCs w:val="24"/>
              </w:rPr>
              <w:t>。2017年《洱源县（洱海流域）城镇及村落污水收集处理工程》中对右所污水处理厂进水泵房进行了改造。根据《</w:t>
            </w:r>
            <w:bookmarkStart w:id="4" w:name="_Toc30815"/>
            <w:bookmarkStart w:id="5" w:name="_Toc450575212"/>
            <w:bookmarkStart w:id="6" w:name="_Toc452639541"/>
            <w:bookmarkStart w:id="7" w:name="_Toc13116"/>
            <w:bookmarkStart w:id="8" w:name="_Toc31637"/>
            <w:bookmarkStart w:id="9" w:name="_Toc450575111"/>
            <w:bookmarkStart w:id="10" w:name="_Toc453543560"/>
            <w:bookmarkStart w:id="11" w:name="_Toc18024"/>
            <w:r>
              <w:rPr>
                <w:rFonts w:hint="eastAsia"/>
                <w:szCs w:val="24"/>
              </w:rPr>
              <w:t>大理州洱源县（洱源流域）城镇及村落污水收集处理工程项目竣工环境保护验收（一期）监测报告</w:t>
            </w:r>
            <w:bookmarkEnd w:id="4"/>
            <w:bookmarkEnd w:id="5"/>
            <w:bookmarkEnd w:id="6"/>
            <w:bookmarkEnd w:id="7"/>
            <w:bookmarkEnd w:id="8"/>
            <w:bookmarkEnd w:id="9"/>
            <w:bookmarkEnd w:id="10"/>
            <w:bookmarkEnd w:id="11"/>
            <w:r>
              <w:rPr>
                <w:rFonts w:hint="eastAsia"/>
                <w:szCs w:val="24"/>
              </w:rPr>
              <w:t>》，各污染物排放如下：</w:t>
            </w:r>
          </w:p>
          <w:p>
            <w:pPr>
              <w:spacing w:line="360" w:lineRule="auto"/>
              <w:ind w:firstLine="482" w:firstLineChars="200"/>
              <w:rPr>
                <w:b/>
                <w:bCs/>
              </w:rPr>
            </w:pPr>
            <w:r>
              <w:rPr>
                <w:rFonts w:hint="eastAsia"/>
                <w:b/>
                <w:bCs/>
                <w:szCs w:val="24"/>
              </w:rPr>
              <w:t>（1）废水</w:t>
            </w:r>
          </w:p>
          <w:p>
            <w:pPr>
              <w:pStyle w:val="13"/>
              <w:tabs>
                <w:tab w:val="left" w:pos="0"/>
              </w:tabs>
              <w:adjustRightInd w:val="0"/>
              <w:snapToGrid w:val="0"/>
              <w:spacing w:line="360" w:lineRule="auto"/>
              <w:ind w:firstLine="480" w:firstLineChars="200"/>
            </w:pPr>
            <w:r>
              <w:rPr>
                <w:rFonts w:hint="eastAsia"/>
              </w:rPr>
              <w:t>项目污水</w:t>
            </w:r>
            <w:r>
              <w:rPr>
                <w:rFonts w:hint="eastAsia"/>
                <w:szCs w:val="24"/>
              </w:rPr>
              <w:t>处理厂</w:t>
            </w:r>
            <w:r>
              <w:rPr>
                <w:rFonts w:hint="eastAsia"/>
              </w:rPr>
              <w:t>运营期职工产生的生活废水、污泥压滤废水，经厂区内排水管网进入污水泵房混合后处理，处理达标后尾水排入人工湿地，经人工湿地净化系统处理。2018年12月4日-8日，昆明绿岛环境科技有限公司对污水处理厂进出口水质进行了验收监测。项目验收监测期间，右所污水处理厂出水口各污染物检测结果均达到《城镇污水处理厂污染物排放标准》（GB18918-2002）表1中规定的1级A标准限值。其主要污染物产排情况为COD：7.905t/a，TN：3.4194t/a，氨氮：0.0678t/a，总磷：0.1068t/a。</w:t>
            </w:r>
          </w:p>
          <w:p>
            <w:pPr>
              <w:spacing w:line="360" w:lineRule="auto"/>
              <w:ind w:firstLine="482" w:firstLineChars="200"/>
              <w:rPr>
                <w:b/>
                <w:bCs/>
                <w:szCs w:val="24"/>
              </w:rPr>
            </w:pPr>
            <w:r>
              <w:rPr>
                <w:rFonts w:hint="eastAsia"/>
                <w:b/>
                <w:bCs/>
                <w:szCs w:val="24"/>
              </w:rPr>
              <w:t>（2）废气</w:t>
            </w:r>
          </w:p>
          <w:p>
            <w:pPr>
              <w:adjustRightInd w:val="0"/>
              <w:snapToGrid w:val="0"/>
              <w:spacing w:line="360" w:lineRule="auto"/>
              <w:ind w:firstLine="480"/>
            </w:pPr>
            <w:r>
              <w:rPr>
                <w:szCs w:val="24"/>
              </w:rPr>
              <w:t>项目建成运行后，主要大气污染物为恶臭气体，恶臭污染源主要产生于预处理单元（格栅、沉砂池）、污水处理主反应单元和污泥处理单元。污水处理厂运行时产生的臭气成分主要氨气、硫化氢</w:t>
            </w:r>
            <w:r>
              <w:rPr>
                <w:rFonts w:hint="eastAsia"/>
                <w:szCs w:val="24"/>
              </w:rPr>
              <w:t>、甲烷及臭气浓度</w:t>
            </w:r>
            <w:r>
              <w:rPr>
                <w:szCs w:val="24"/>
              </w:rPr>
              <w:t>，呈无组织排放。</w:t>
            </w:r>
            <w:r>
              <w:rPr>
                <w:rFonts w:hint="eastAsia"/>
                <w:szCs w:val="24"/>
              </w:rPr>
              <w:t>根据</w:t>
            </w:r>
            <w:r>
              <w:rPr>
                <w:rFonts w:hint="eastAsia"/>
              </w:rPr>
              <w:t>2018年12月4日~5日，昆明绿岛环境科技有限公司对污水处理厂厂界无组织废气进行了验收监测。项目验收监测期间，</w:t>
            </w:r>
            <w:r>
              <w:rPr>
                <w:rFonts w:hint="eastAsia"/>
                <w:color w:val="FF0000"/>
              </w:rPr>
              <w:t>厂界无组织废气硫化氢浓度最大值为0.007mg/m</w:t>
            </w:r>
            <w:r>
              <w:rPr>
                <w:rFonts w:hint="eastAsia"/>
                <w:color w:val="FF0000"/>
                <w:vertAlign w:val="superscript"/>
              </w:rPr>
              <w:t>3</w:t>
            </w:r>
            <w:r>
              <w:rPr>
                <w:rFonts w:hint="eastAsia"/>
                <w:color w:val="FF0000"/>
              </w:rPr>
              <w:t>，氨气浓度最大值为0.10mg/m</w:t>
            </w:r>
            <w:r>
              <w:rPr>
                <w:rFonts w:hint="eastAsia"/>
                <w:color w:val="FF0000"/>
                <w:vertAlign w:val="superscript"/>
              </w:rPr>
              <w:t>3</w:t>
            </w:r>
            <w:r>
              <w:rPr>
                <w:rFonts w:hint="eastAsia"/>
                <w:color w:val="FF0000"/>
              </w:rPr>
              <w:t>，臭气浓度＜10，各污染物均能够达到《城镇污水处理厂污染物排放标准》（GB18918-2002）表4中二级标准要求，即：厂界无组织废气能够达标排放。</w:t>
            </w:r>
          </w:p>
          <w:p>
            <w:pPr>
              <w:snapToGrid w:val="0"/>
              <w:spacing w:line="360" w:lineRule="auto"/>
              <w:ind w:firstLine="480" w:firstLineChars="200"/>
              <w:rPr>
                <w:szCs w:val="24"/>
              </w:rPr>
            </w:pPr>
            <w:r>
              <w:rPr>
                <w:szCs w:val="24"/>
              </w:rPr>
              <w:t xml:space="preserve"> </w:t>
            </w:r>
            <w:r>
              <w:rPr>
                <w:rFonts w:hint="eastAsia"/>
                <w:b/>
                <w:bCs/>
                <w:szCs w:val="24"/>
              </w:rPr>
              <w:t>（3）噪声</w:t>
            </w:r>
          </w:p>
          <w:p>
            <w:pPr>
              <w:snapToGrid w:val="0"/>
              <w:spacing w:line="360" w:lineRule="auto"/>
              <w:ind w:firstLine="480" w:firstLineChars="200"/>
              <w:rPr>
                <w:szCs w:val="24"/>
                <w:lang w:val="zh-CN"/>
              </w:rPr>
            </w:pPr>
            <w:r>
              <w:rPr>
                <w:szCs w:val="24"/>
              </w:rPr>
              <w:t>项目运行期主要噪声源为泵类、鼓风机、浓缩脱水机、空压机等</w:t>
            </w:r>
            <w:r>
              <w:rPr>
                <w:rFonts w:hint="eastAsia"/>
                <w:szCs w:val="24"/>
              </w:rPr>
              <w:t>机械设备噪声。根据验收监测结果，右所污水处理厂昼夜间噪声排均达到 《工业企业厂界环境噪声排放标准》（GB12348—2008）2</w:t>
            </w:r>
            <w:r>
              <w:rPr>
                <w:rFonts w:hint="eastAsia"/>
                <w:szCs w:val="24"/>
                <w:lang w:val="zh-CN"/>
              </w:rPr>
              <w:t>类区标准，具体噪声值如下：</w:t>
            </w:r>
          </w:p>
          <w:p>
            <w:pPr>
              <w:pStyle w:val="23"/>
              <w:spacing w:line="360" w:lineRule="auto"/>
              <w:jc w:val="center"/>
              <w:rPr>
                <w:b/>
                <w:bCs/>
                <w:sz w:val="21"/>
                <w:szCs w:val="21"/>
              </w:rPr>
            </w:pPr>
            <w:r>
              <w:rPr>
                <w:rFonts w:hint="eastAsia"/>
                <w:b/>
                <w:bCs/>
                <w:sz w:val="21"/>
                <w:szCs w:val="21"/>
              </w:rPr>
              <w:t>表1-17 右所污水厂</w:t>
            </w:r>
            <w:r>
              <w:rPr>
                <w:b/>
                <w:bCs/>
                <w:sz w:val="21"/>
                <w:szCs w:val="21"/>
              </w:rPr>
              <w:t>厂界噪声</w:t>
            </w:r>
            <w:r>
              <w:rPr>
                <w:rFonts w:hint="eastAsia"/>
                <w:b/>
                <w:bCs/>
                <w:sz w:val="21"/>
                <w:szCs w:val="21"/>
              </w:rPr>
              <w:t>监测</w:t>
            </w:r>
            <w:r>
              <w:rPr>
                <w:b/>
                <w:bCs/>
                <w:sz w:val="21"/>
                <w:szCs w:val="21"/>
              </w:rPr>
              <w:t>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880"/>
              <w:gridCol w:w="1533"/>
              <w:gridCol w:w="1519"/>
              <w:gridCol w:w="154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tcBorders>
                    <w:top w:val="single" w:color="auto" w:sz="4" w:space="0"/>
                  </w:tcBorders>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880" w:type="dxa"/>
                  <w:vMerge w:val="restart"/>
                  <w:tcBorders>
                    <w:top w:val="single" w:color="auto" w:sz="4" w:space="0"/>
                  </w:tcBorders>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052" w:type="dxa"/>
                  <w:gridSpan w:val="2"/>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Leq (A) 值[dB (A)]</w:t>
                  </w:r>
                </w:p>
              </w:tc>
              <w:tc>
                <w:tcPr>
                  <w:tcW w:w="1548" w:type="dxa"/>
                  <w:vMerge w:val="restart"/>
                  <w:tcBorders>
                    <w:top w:val="single" w:color="auto" w:sz="4" w:space="0"/>
                    <w:right w:val="single" w:color="000000" w:sz="8" w:space="0"/>
                  </w:tcBorders>
                  <w:vAlign w:val="center"/>
                </w:tcPr>
                <w:p>
                  <w:pPr>
                    <w:jc w:val="center"/>
                    <w:rPr>
                      <w:b/>
                      <w:bCs/>
                      <w:sz w:val="21"/>
                      <w:szCs w:val="21"/>
                    </w:rPr>
                  </w:pPr>
                  <w:r>
                    <w:rPr>
                      <w:b/>
                      <w:bCs/>
                      <w:sz w:val="21"/>
                      <w:szCs w:val="21"/>
                    </w:rPr>
                    <w:t>主要声源说明</w:t>
                  </w:r>
                </w:p>
              </w:tc>
              <w:tc>
                <w:tcPr>
                  <w:tcW w:w="1410" w:type="dxa"/>
                  <w:vMerge w:val="restart"/>
                  <w:tcBorders>
                    <w:top w:val="single" w:color="auto" w:sz="4" w:space="0"/>
                    <w:right w:val="single" w:color="000000" w:sz="8" w:space="0"/>
                  </w:tcBorders>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昼间</w:t>
                  </w:r>
                </w:p>
              </w:tc>
              <w:tc>
                <w:tcPr>
                  <w:tcW w:w="1519"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夜间</w:t>
                  </w:r>
                </w:p>
              </w:tc>
              <w:tc>
                <w:tcPr>
                  <w:tcW w:w="1548" w:type="dxa"/>
                  <w:vMerge w:val="continue"/>
                  <w:tcBorders>
                    <w:right w:val="single" w:color="000000" w:sz="8" w:space="0"/>
                  </w:tcBorders>
                  <w:vAlign w:val="center"/>
                </w:tcPr>
                <w:p>
                  <w:pPr>
                    <w:jc w:val="center"/>
                    <w:rPr>
                      <w:b/>
                      <w:bCs/>
                      <w:sz w:val="21"/>
                      <w:szCs w:val="21"/>
                    </w:rPr>
                  </w:pPr>
                </w:p>
              </w:tc>
              <w:tc>
                <w:tcPr>
                  <w:tcW w:w="141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12月4日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45.0 </w:t>
                  </w:r>
                </w:p>
              </w:tc>
              <w:tc>
                <w:tcPr>
                  <w:tcW w:w="1519" w:type="dxa"/>
                  <w:vAlign w:val="center"/>
                </w:tcPr>
                <w:p>
                  <w:pPr>
                    <w:jc w:val="center"/>
                    <w:textAlignment w:val="center"/>
                    <w:rPr>
                      <w:sz w:val="21"/>
                      <w:szCs w:val="21"/>
                    </w:rPr>
                  </w:pPr>
                  <w:r>
                    <w:rPr>
                      <w:sz w:val="21"/>
                      <w:szCs w:val="21"/>
                    </w:rPr>
                    <w:t xml:space="preserve">43.8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46.7 </w:t>
                  </w:r>
                </w:p>
              </w:tc>
              <w:tc>
                <w:tcPr>
                  <w:tcW w:w="1519" w:type="dxa"/>
                  <w:vAlign w:val="center"/>
                </w:tcPr>
                <w:p>
                  <w:pPr>
                    <w:jc w:val="center"/>
                    <w:textAlignment w:val="center"/>
                    <w:rPr>
                      <w:sz w:val="21"/>
                      <w:szCs w:val="21"/>
                    </w:rPr>
                  </w:pPr>
                  <w:r>
                    <w:rPr>
                      <w:sz w:val="21"/>
                      <w:szCs w:val="21"/>
                    </w:rPr>
                    <w:t xml:space="preserve">46.5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42.0 </w:t>
                  </w:r>
                </w:p>
              </w:tc>
              <w:tc>
                <w:tcPr>
                  <w:tcW w:w="1519" w:type="dxa"/>
                  <w:vAlign w:val="center"/>
                </w:tcPr>
                <w:p>
                  <w:pPr>
                    <w:jc w:val="center"/>
                    <w:textAlignment w:val="center"/>
                    <w:rPr>
                      <w:sz w:val="21"/>
                      <w:szCs w:val="21"/>
                    </w:rPr>
                  </w:pPr>
                  <w:r>
                    <w:rPr>
                      <w:sz w:val="21"/>
                      <w:szCs w:val="21"/>
                    </w:rPr>
                    <w:t xml:space="preserve">42.9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46.4 </w:t>
                  </w:r>
                </w:p>
              </w:tc>
              <w:tc>
                <w:tcPr>
                  <w:tcW w:w="1519" w:type="dxa"/>
                  <w:vAlign w:val="center"/>
                </w:tcPr>
                <w:p>
                  <w:pPr>
                    <w:jc w:val="center"/>
                    <w:textAlignment w:val="center"/>
                    <w:rPr>
                      <w:sz w:val="21"/>
                      <w:szCs w:val="21"/>
                    </w:rPr>
                  </w:pPr>
                  <w:r>
                    <w:rPr>
                      <w:sz w:val="21"/>
                      <w:szCs w:val="21"/>
                    </w:rPr>
                    <w:t xml:space="preserve">44.0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12月5日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43.5 </w:t>
                  </w:r>
                </w:p>
              </w:tc>
              <w:tc>
                <w:tcPr>
                  <w:tcW w:w="1519" w:type="dxa"/>
                  <w:vAlign w:val="center"/>
                </w:tcPr>
                <w:p>
                  <w:pPr>
                    <w:jc w:val="center"/>
                    <w:textAlignment w:val="center"/>
                    <w:rPr>
                      <w:sz w:val="21"/>
                      <w:szCs w:val="21"/>
                    </w:rPr>
                  </w:pPr>
                  <w:r>
                    <w:rPr>
                      <w:sz w:val="21"/>
                      <w:szCs w:val="21"/>
                    </w:rPr>
                    <w:t xml:space="preserve">33.5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50.1 </w:t>
                  </w:r>
                </w:p>
              </w:tc>
              <w:tc>
                <w:tcPr>
                  <w:tcW w:w="1519" w:type="dxa"/>
                  <w:vAlign w:val="center"/>
                </w:tcPr>
                <w:p>
                  <w:pPr>
                    <w:jc w:val="center"/>
                    <w:textAlignment w:val="center"/>
                    <w:rPr>
                      <w:sz w:val="21"/>
                      <w:szCs w:val="21"/>
                    </w:rPr>
                  </w:pPr>
                  <w:r>
                    <w:rPr>
                      <w:sz w:val="21"/>
                      <w:szCs w:val="21"/>
                    </w:rPr>
                    <w:t xml:space="preserve">44.6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42.1 </w:t>
                  </w:r>
                </w:p>
              </w:tc>
              <w:tc>
                <w:tcPr>
                  <w:tcW w:w="1519" w:type="dxa"/>
                  <w:vAlign w:val="center"/>
                </w:tcPr>
                <w:p>
                  <w:pPr>
                    <w:jc w:val="center"/>
                    <w:textAlignment w:val="center"/>
                    <w:rPr>
                      <w:sz w:val="21"/>
                      <w:szCs w:val="21"/>
                    </w:rPr>
                  </w:pPr>
                  <w:r>
                    <w:rPr>
                      <w:sz w:val="21"/>
                      <w:szCs w:val="21"/>
                    </w:rPr>
                    <w:t xml:space="preserve">45.0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44.0 </w:t>
                  </w:r>
                </w:p>
              </w:tc>
              <w:tc>
                <w:tcPr>
                  <w:tcW w:w="1519" w:type="dxa"/>
                  <w:vAlign w:val="center"/>
                </w:tcPr>
                <w:p>
                  <w:pPr>
                    <w:jc w:val="center"/>
                    <w:textAlignment w:val="center"/>
                    <w:rPr>
                      <w:sz w:val="21"/>
                      <w:szCs w:val="21"/>
                    </w:rPr>
                  </w:pPr>
                  <w:r>
                    <w:rPr>
                      <w:sz w:val="21"/>
                      <w:szCs w:val="21"/>
                    </w:rPr>
                    <w:t xml:space="preserve">39.7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bl>
          <w:p>
            <w:pPr>
              <w:spacing w:line="360" w:lineRule="auto"/>
              <w:ind w:firstLine="482" w:firstLineChars="200"/>
              <w:rPr>
                <w:b/>
                <w:bCs/>
                <w:szCs w:val="24"/>
              </w:rPr>
            </w:pPr>
            <w:r>
              <w:rPr>
                <w:rFonts w:hint="eastAsia"/>
                <w:b/>
                <w:bCs/>
                <w:szCs w:val="24"/>
              </w:rPr>
              <w:t>（4）固体废物</w:t>
            </w:r>
          </w:p>
          <w:p>
            <w:pPr>
              <w:adjustRightInd w:val="0"/>
              <w:snapToGrid w:val="0"/>
              <w:spacing w:line="360" w:lineRule="auto"/>
              <w:ind w:firstLine="480" w:firstLineChars="200"/>
              <w:rPr>
                <w:szCs w:val="24"/>
              </w:rPr>
            </w:pPr>
            <w:r>
              <w:rPr>
                <w:rFonts w:hint="eastAsia"/>
                <w:szCs w:val="24"/>
              </w:rPr>
              <w:t>项目</w:t>
            </w:r>
            <w:r>
              <w:rPr>
                <w:szCs w:val="24"/>
              </w:rPr>
              <w:t>运行期</w:t>
            </w:r>
            <w:r>
              <w:rPr>
                <w:rFonts w:hint="eastAsia"/>
                <w:szCs w:val="24"/>
              </w:rPr>
              <w:t>产生的</w:t>
            </w:r>
            <w:r>
              <w:rPr>
                <w:szCs w:val="24"/>
              </w:rPr>
              <w:t>固体废物主要包括栅渣、沉砂、污泥和职工生活垃圾</w:t>
            </w:r>
            <w:r>
              <w:rPr>
                <w:rFonts w:hint="eastAsia"/>
                <w:szCs w:val="24"/>
              </w:rPr>
              <w:t>。项目产生固废（污泥和生活垃圾）由专人专车定期清运至洱源县军马场进行卫生填埋处理，固废处置率100%。</w:t>
            </w:r>
          </w:p>
          <w:p>
            <w:pPr>
              <w:adjustRightInd w:val="0"/>
              <w:snapToGrid w:val="0"/>
              <w:spacing w:line="360" w:lineRule="auto"/>
              <w:ind w:firstLine="482" w:firstLineChars="200"/>
              <w:rPr>
                <w:b/>
                <w:bCs/>
                <w:szCs w:val="24"/>
              </w:rPr>
            </w:pPr>
            <w:r>
              <w:rPr>
                <w:rFonts w:hint="eastAsia"/>
                <w:b/>
                <w:bCs/>
                <w:szCs w:val="24"/>
              </w:rPr>
              <w:t>3、牛街污水处理厂</w:t>
            </w:r>
          </w:p>
          <w:p>
            <w:pPr>
              <w:adjustRightInd w:val="0"/>
              <w:snapToGrid w:val="0"/>
              <w:spacing w:line="360" w:lineRule="auto"/>
              <w:ind w:firstLine="480" w:firstLineChars="200"/>
              <w:rPr>
                <w:szCs w:val="24"/>
              </w:rPr>
            </w:pPr>
            <w:r>
              <w:rPr>
                <w:rFonts w:hint="eastAsia" w:ascii="宋体" w:hAnsi="宋体"/>
                <w:szCs w:val="24"/>
              </w:rPr>
              <w:t>牛街污水处理厂包括老厂和新厂，均位于</w:t>
            </w:r>
            <w:r>
              <w:rPr>
                <w:rFonts w:hint="eastAsia"/>
                <w:szCs w:val="24"/>
              </w:rPr>
              <w:t>牛街乡牛街村委会，</w:t>
            </w:r>
            <w:r>
              <w:rPr>
                <w:rFonts w:hint="eastAsia" w:ascii="宋体" w:hAnsi="宋体"/>
                <w:szCs w:val="24"/>
              </w:rPr>
              <w:t>目前老厂已经不在使用，</w:t>
            </w:r>
            <w:r>
              <w:rPr>
                <w:rFonts w:ascii="宋体" w:hAnsi="宋体"/>
                <w:szCs w:val="24"/>
              </w:rPr>
              <w:t>作为应急处理设施和三期预留用地</w:t>
            </w:r>
            <w:r>
              <w:rPr>
                <w:rFonts w:hint="eastAsia" w:ascii="宋体" w:hAnsi="宋体"/>
                <w:szCs w:val="24"/>
              </w:rPr>
              <w:t>。新厂</w:t>
            </w:r>
            <w:r>
              <w:rPr>
                <w:szCs w:val="24"/>
              </w:rPr>
              <w:t>于2017年1月开始建设，2018年6月进入设备调试阶段，2018年10月试运行</w:t>
            </w:r>
            <w:r>
              <w:rPr>
                <w:rFonts w:hint="eastAsia"/>
                <w:szCs w:val="24"/>
              </w:rPr>
              <w:t>。根据验收监测报告，各污染物排放如下：</w:t>
            </w:r>
          </w:p>
          <w:p>
            <w:pPr>
              <w:pStyle w:val="23"/>
            </w:pPr>
            <w:r>
              <w:rPr>
                <w:rFonts w:hint="eastAsia"/>
                <w:sz w:val="24"/>
                <w:szCs w:val="24"/>
              </w:rPr>
              <w:t xml:space="preserve">     </w:t>
            </w:r>
            <w:r>
              <w:rPr>
                <w:rFonts w:hint="eastAsia"/>
                <w:b/>
                <w:bCs/>
                <w:sz w:val="24"/>
                <w:szCs w:val="24"/>
              </w:rPr>
              <w:t>（1）废水</w:t>
            </w:r>
          </w:p>
          <w:p>
            <w:pPr>
              <w:spacing w:line="360" w:lineRule="auto"/>
              <w:ind w:firstLine="480" w:firstLineChars="200"/>
              <w:rPr>
                <w:szCs w:val="24"/>
              </w:rPr>
            </w:pPr>
            <w:r>
              <w:rPr>
                <w:rFonts w:hint="eastAsia"/>
                <w:szCs w:val="24"/>
              </w:rPr>
              <w:t>项目污水处理厂运营期职工产生的生活废水、污泥压滤废水，经厂区内排水管网进入污水泵房混合后处理，处理达标后尾水排入人工湿地，经人工湿地净化系统处理。根据2018年12月4日~8日，昆明绿岛环境科技有限公司对污水处理厂进出口水质进行了验收监测。项目验收监测期间，牛街污水处理厂出水口各污染物检测结果均达到《城镇污水处理厂污染物排放标准》（GB18918-2002）表1中规定的1级A标准限值。其主要污染物排放情况为COD：6.5306t/a，TN：2.9618t/a，氨氮：0.0430t/a，总磷：0.1166t/a。</w:t>
            </w:r>
          </w:p>
          <w:p>
            <w:pPr>
              <w:spacing w:line="360" w:lineRule="auto"/>
              <w:ind w:firstLine="482" w:firstLineChars="200"/>
              <w:rPr>
                <w:b/>
                <w:bCs/>
                <w:szCs w:val="24"/>
              </w:rPr>
            </w:pPr>
            <w:r>
              <w:rPr>
                <w:rFonts w:hint="eastAsia"/>
                <w:b/>
                <w:bCs/>
                <w:szCs w:val="24"/>
              </w:rPr>
              <w:t>（2）废气</w:t>
            </w:r>
          </w:p>
          <w:p>
            <w:pPr>
              <w:spacing w:line="360" w:lineRule="auto"/>
              <w:ind w:firstLine="480"/>
              <w:rPr>
                <w:szCs w:val="24"/>
              </w:rPr>
            </w:pPr>
            <w:r>
              <w:rPr>
                <w:szCs w:val="24"/>
              </w:rPr>
              <w:t>项目建成运行后，主要大气污染物为恶臭气体，恶臭污染源主要产生于预处理单元（格栅、沉砂池）、污水处理主反应单元和污泥处理单元。污水处理厂运行时产生的臭气成分主要氨气、硫化氢</w:t>
            </w:r>
            <w:r>
              <w:rPr>
                <w:rFonts w:hint="eastAsia"/>
                <w:szCs w:val="24"/>
              </w:rPr>
              <w:t>、甲烷及臭气浓度</w:t>
            </w:r>
            <w:r>
              <w:rPr>
                <w:szCs w:val="24"/>
              </w:rPr>
              <w:t>，呈无组织排放。</w:t>
            </w:r>
            <w:r>
              <w:rPr>
                <w:rFonts w:hint="eastAsia"/>
                <w:szCs w:val="24"/>
              </w:rPr>
              <w:t>根据2018年12月8日~9日，昆明绿岛环境科技有限公司对污水处理厂进出口水质进行了验收监测。项目验收监测期间，牛街污水处理厂</w:t>
            </w:r>
            <w:r>
              <w:rPr>
                <w:rFonts w:hint="eastAsia"/>
              </w:rPr>
              <w:t>厂界无组织废气进行了验收监测。项目验收监测期间，</w:t>
            </w:r>
            <w:r>
              <w:rPr>
                <w:rFonts w:hint="eastAsia"/>
                <w:color w:val="FF0000"/>
              </w:rPr>
              <w:t>厂界无组织废气硫化氢浓度最大值为0.012mg/m</w:t>
            </w:r>
            <w:r>
              <w:rPr>
                <w:rFonts w:hint="eastAsia"/>
                <w:color w:val="FF0000"/>
                <w:vertAlign w:val="superscript"/>
              </w:rPr>
              <w:t>3</w:t>
            </w:r>
            <w:r>
              <w:rPr>
                <w:rFonts w:hint="eastAsia"/>
                <w:color w:val="FF0000"/>
              </w:rPr>
              <w:t>，氨气浓度最大值为0.10mg/m</w:t>
            </w:r>
            <w:r>
              <w:rPr>
                <w:rFonts w:hint="eastAsia"/>
                <w:color w:val="FF0000"/>
                <w:vertAlign w:val="superscript"/>
              </w:rPr>
              <w:t>3</w:t>
            </w:r>
            <w:r>
              <w:rPr>
                <w:rFonts w:hint="eastAsia"/>
                <w:color w:val="FF0000"/>
              </w:rPr>
              <w:t>，臭气浓度＜10，各污染物均能够达到《城镇污水处理厂污染物排放标准》（GB18918-2002）表4中二级标准要求，即：厂界无组织废气能够达标排放。</w:t>
            </w:r>
          </w:p>
          <w:p>
            <w:pPr>
              <w:spacing w:line="360" w:lineRule="auto"/>
              <w:ind w:firstLine="480" w:firstLineChars="200"/>
              <w:rPr>
                <w:szCs w:val="24"/>
              </w:rPr>
            </w:pPr>
            <w:r>
              <w:rPr>
                <w:szCs w:val="24"/>
              </w:rPr>
              <w:t xml:space="preserve"> </w:t>
            </w:r>
            <w:r>
              <w:rPr>
                <w:rFonts w:hint="eastAsia"/>
                <w:b/>
                <w:bCs/>
                <w:szCs w:val="24"/>
              </w:rPr>
              <w:t>（3）噪声</w:t>
            </w:r>
          </w:p>
          <w:p>
            <w:pPr>
              <w:spacing w:line="360" w:lineRule="auto"/>
              <w:ind w:firstLine="480" w:firstLineChars="200"/>
              <w:rPr>
                <w:szCs w:val="24"/>
                <w:lang w:val="zh-CN"/>
              </w:rPr>
            </w:pPr>
            <w:r>
              <w:rPr>
                <w:szCs w:val="24"/>
              </w:rPr>
              <w:t>项目运行期主要噪声源为泵类、鼓风机、浓缩脱水机、空压机等</w:t>
            </w:r>
            <w:r>
              <w:rPr>
                <w:rFonts w:hint="eastAsia"/>
                <w:szCs w:val="24"/>
              </w:rPr>
              <w:t>机械设备噪声。根据验收监测结果，右所污水处理厂昼夜间噪声排均达到 《工业企业厂界环境噪声排放标准》（GB12348—2008）2</w:t>
            </w:r>
            <w:r>
              <w:rPr>
                <w:rFonts w:hint="eastAsia"/>
                <w:szCs w:val="24"/>
                <w:lang w:val="zh-CN"/>
              </w:rPr>
              <w:t>类区标准，具体噪声值如下：</w:t>
            </w:r>
          </w:p>
          <w:p>
            <w:pPr>
              <w:pStyle w:val="23"/>
              <w:spacing w:line="360" w:lineRule="auto"/>
              <w:jc w:val="center"/>
              <w:rPr>
                <w:b/>
                <w:bCs/>
                <w:sz w:val="21"/>
                <w:szCs w:val="21"/>
              </w:rPr>
            </w:pPr>
            <w:r>
              <w:rPr>
                <w:rFonts w:hint="eastAsia"/>
                <w:b/>
                <w:bCs/>
                <w:sz w:val="21"/>
                <w:szCs w:val="21"/>
              </w:rPr>
              <w:t>表1-18  牛街污水厂</w:t>
            </w:r>
            <w:r>
              <w:rPr>
                <w:b/>
                <w:bCs/>
                <w:sz w:val="21"/>
                <w:szCs w:val="21"/>
              </w:rPr>
              <w:t>厂界噪声</w:t>
            </w:r>
            <w:r>
              <w:rPr>
                <w:rFonts w:hint="eastAsia"/>
                <w:b/>
                <w:bCs/>
                <w:sz w:val="21"/>
                <w:szCs w:val="21"/>
              </w:rPr>
              <w:t>监测</w:t>
            </w:r>
            <w:r>
              <w:rPr>
                <w:b/>
                <w:bCs/>
                <w:sz w:val="21"/>
                <w:szCs w:val="21"/>
              </w:rPr>
              <w:t>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880"/>
              <w:gridCol w:w="1533"/>
              <w:gridCol w:w="1519"/>
              <w:gridCol w:w="154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tcBorders>
                    <w:top w:val="single" w:color="auto" w:sz="4" w:space="0"/>
                  </w:tcBorders>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880" w:type="dxa"/>
                  <w:vMerge w:val="restart"/>
                  <w:tcBorders>
                    <w:top w:val="single" w:color="auto" w:sz="4" w:space="0"/>
                  </w:tcBorders>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052" w:type="dxa"/>
                  <w:gridSpan w:val="2"/>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Leq (A) 值</w:t>
                  </w:r>
                  <w:r>
                    <w:rPr>
                      <w:rFonts w:hint="eastAsia"/>
                      <w:b/>
                      <w:bCs/>
                      <w:spacing w:val="-8"/>
                      <w:sz w:val="21"/>
                      <w:szCs w:val="21"/>
                    </w:rPr>
                    <w:t xml:space="preserve"> </w:t>
                  </w:r>
                  <w:r>
                    <w:rPr>
                      <w:b/>
                      <w:bCs/>
                      <w:spacing w:val="-8"/>
                      <w:sz w:val="21"/>
                      <w:szCs w:val="21"/>
                    </w:rPr>
                    <w:t>[dB (A)]</w:t>
                  </w:r>
                </w:p>
              </w:tc>
              <w:tc>
                <w:tcPr>
                  <w:tcW w:w="1548" w:type="dxa"/>
                  <w:vMerge w:val="restart"/>
                  <w:tcBorders>
                    <w:top w:val="single" w:color="auto" w:sz="4" w:space="0"/>
                    <w:right w:val="single" w:color="000000" w:sz="8" w:space="0"/>
                  </w:tcBorders>
                  <w:vAlign w:val="center"/>
                </w:tcPr>
                <w:p>
                  <w:pPr>
                    <w:jc w:val="center"/>
                    <w:rPr>
                      <w:b/>
                      <w:bCs/>
                      <w:sz w:val="21"/>
                      <w:szCs w:val="21"/>
                    </w:rPr>
                  </w:pPr>
                  <w:r>
                    <w:rPr>
                      <w:b/>
                      <w:bCs/>
                      <w:sz w:val="21"/>
                      <w:szCs w:val="21"/>
                    </w:rPr>
                    <w:t>主要声源说明</w:t>
                  </w:r>
                </w:p>
              </w:tc>
              <w:tc>
                <w:tcPr>
                  <w:tcW w:w="1410" w:type="dxa"/>
                  <w:vMerge w:val="restart"/>
                  <w:tcBorders>
                    <w:top w:val="single" w:color="auto" w:sz="4" w:space="0"/>
                    <w:right w:val="single" w:color="000000" w:sz="8" w:space="0"/>
                  </w:tcBorders>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519"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548" w:type="dxa"/>
                  <w:vMerge w:val="continue"/>
                  <w:tcBorders>
                    <w:right w:val="single" w:color="000000" w:sz="8" w:space="0"/>
                  </w:tcBorders>
                  <w:vAlign w:val="center"/>
                </w:tcPr>
                <w:p>
                  <w:pPr>
                    <w:jc w:val="center"/>
                    <w:rPr>
                      <w:b/>
                      <w:bCs/>
                      <w:sz w:val="21"/>
                      <w:szCs w:val="21"/>
                    </w:rPr>
                  </w:pPr>
                </w:p>
              </w:tc>
              <w:tc>
                <w:tcPr>
                  <w:tcW w:w="141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昼间</w:t>
                  </w:r>
                </w:p>
              </w:tc>
              <w:tc>
                <w:tcPr>
                  <w:tcW w:w="1519"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夜间</w:t>
                  </w:r>
                </w:p>
              </w:tc>
              <w:tc>
                <w:tcPr>
                  <w:tcW w:w="1548" w:type="dxa"/>
                  <w:vMerge w:val="continue"/>
                  <w:tcBorders>
                    <w:right w:val="single" w:color="000000" w:sz="8" w:space="0"/>
                  </w:tcBorders>
                  <w:vAlign w:val="center"/>
                </w:tcPr>
                <w:p>
                  <w:pPr>
                    <w:jc w:val="center"/>
                    <w:rPr>
                      <w:b/>
                      <w:bCs/>
                      <w:sz w:val="21"/>
                      <w:szCs w:val="21"/>
                    </w:rPr>
                  </w:pPr>
                </w:p>
              </w:tc>
              <w:tc>
                <w:tcPr>
                  <w:tcW w:w="141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w:t>
                  </w:r>
                  <w:r>
                    <w:rPr>
                      <w:rFonts w:hint="eastAsia"/>
                      <w:sz w:val="21"/>
                      <w:szCs w:val="21"/>
                    </w:rPr>
                    <w:t>8</w:t>
                  </w:r>
                  <w:r>
                    <w:rPr>
                      <w:sz w:val="21"/>
                      <w:szCs w:val="21"/>
                    </w:rPr>
                    <w:t>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44.9 </w:t>
                  </w:r>
                </w:p>
              </w:tc>
              <w:tc>
                <w:tcPr>
                  <w:tcW w:w="1519" w:type="dxa"/>
                  <w:vAlign w:val="center"/>
                </w:tcPr>
                <w:p>
                  <w:pPr>
                    <w:jc w:val="center"/>
                    <w:textAlignment w:val="center"/>
                    <w:rPr>
                      <w:sz w:val="21"/>
                      <w:szCs w:val="21"/>
                    </w:rPr>
                  </w:pPr>
                  <w:r>
                    <w:rPr>
                      <w:sz w:val="21"/>
                      <w:szCs w:val="21"/>
                    </w:rPr>
                    <w:t xml:space="preserve">43.8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44.3 </w:t>
                  </w:r>
                </w:p>
              </w:tc>
              <w:tc>
                <w:tcPr>
                  <w:tcW w:w="1519" w:type="dxa"/>
                  <w:vAlign w:val="center"/>
                </w:tcPr>
                <w:p>
                  <w:pPr>
                    <w:jc w:val="center"/>
                    <w:textAlignment w:val="center"/>
                    <w:rPr>
                      <w:sz w:val="21"/>
                      <w:szCs w:val="21"/>
                    </w:rPr>
                  </w:pPr>
                  <w:r>
                    <w:rPr>
                      <w:sz w:val="21"/>
                      <w:szCs w:val="21"/>
                    </w:rPr>
                    <w:t xml:space="preserve">43.2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43.2 </w:t>
                  </w:r>
                </w:p>
              </w:tc>
              <w:tc>
                <w:tcPr>
                  <w:tcW w:w="1519" w:type="dxa"/>
                  <w:vAlign w:val="center"/>
                </w:tcPr>
                <w:p>
                  <w:pPr>
                    <w:jc w:val="center"/>
                    <w:textAlignment w:val="center"/>
                    <w:rPr>
                      <w:sz w:val="21"/>
                      <w:szCs w:val="21"/>
                    </w:rPr>
                  </w:pPr>
                  <w:r>
                    <w:rPr>
                      <w:sz w:val="21"/>
                      <w:szCs w:val="21"/>
                    </w:rPr>
                    <w:t xml:space="preserve">44.4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46.9 </w:t>
                  </w:r>
                </w:p>
              </w:tc>
              <w:tc>
                <w:tcPr>
                  <w:tcW w:w="1519" w:type="dxa"/>
                  <w:vAlign w:val="center"/>
                </w:tcPr>
                <w:p>
                  <w:pPr>
                    <w:jc w:val="center"/>
                    <w:textAlignment w:val="center"/>
                    <w:rPr>
                      <w:sz w:val="21"/>
                      <w:szCs w:val="21"/>
                    </w:rPr>
                  </w:pPr>
                  <w:r>
                    <w:rPr>
                      <w:sz w:val="21"/>
                      <w:szCs w:val="21"/>
                    </w:rPr>
                    <w:t xml:space="preserve">46.6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w:t>
                  </w:r>
                  <w:r>
                    <w:rPr>
                      <w:rFonts w:hint="eastAsia"/>
                      <w:sz w:val="21"/>
                      <w:szCs w:val="21"/>
                    </w:rPr>
                    <w:t>9</w:t>
                  </w:r>
                  <w:r>
                    <w:rPr>
                      <w:sz w:val="21"/>
                      <w:szCs w:val="21"/>
                    </w:rPr>
                    <w:t>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43.4 </w:t>
                  </w:r>
                </w:p>
              </w:tc>
              <w:tc>
                <w:tcPr>
                  <w:tcW w:w="1519" w:type="dxa"/>
                  <w:vAlign w:val="center"/>
                </w:tcPr>
                <w:p>
                  <w:pPr>
                    <w:jc w:val="center"/>
                    <w:textAlignment w:val="center"/>
                    <w:rPr>
                      <w:sz w:val="21"/>
                      <w:szCs w:val="21"/>
                    </w:rPr>
                  </w:pPr>
                  <w:r>
                    <w:rPr>
                      <w:sz w:val="21"/>
                      <w:szCs w:val="21"/>
                    </w:rPr>
                    <w:t xml:space="preserve">42.6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42.9 </w:t>
                  </w:r>
                </w:p>
              </w:tc>
              <w:tc>
                <w:tcPr>
                  <w:tcW w:w="1519" w:type="dxa"/>
                  <w:vAlign w:val="center"/>
                </w:tcPr>
                <w:p>
                  <w:pPr>
                    <w:jc w:val="center"/>
                    <w:textAlignment w:val="center"/>
                    <w:rPr>
                      <w:sz w:val="21"/>
                      <w:szCs w:val="21"/>
                    </w:rPr>
                  </w:pPr>
                  <w:r>
                    <w:rPr>
                      <w:sz w:val="21"/>
                      <w:szCs w:val="21"/>
                    </w:rPr>
                    <w:t xml:space="preserve">41.5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42.6 </w:t>
                  </w:r>
                </w:p>
              </w:tc>
              <w:tc>
                <w:tcPr>
                  <w:tcW w:w="1519" w:type="dxa"/>
                  <w:vAlign w:val="center"/>
                </w:tcPr>
                <w:p>
                  <w:pPr>
                    <w:jc w:val="center"/>
                    <w:textAlignment w:val="center"/>
                    <w:rPr>
                      <w:sz w:val="21"/>
                      <w:szCs w:val="21"/>
                    </w:rPr>
                  </w:pPr>
                  <w:r>
                    <w:rPr>
                      <w:sz w:val="21"/>
                      <w:szCs w:val="21"/>
                    </w:rPr>
                    <w:t xml:space="preserve">40.6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47.2 </w:t>
                  </w:r>
                </w:p>
              </w:tc>
              <w:tc>
                <w:tcPr>
                  <w:tcW w:w="1519" w:type="dxa"/>
                  <w:vAlign w:val="center"/>
                </w:tcPr>
                <w:p>
                  <w:pPr>
                    <w:jc w:val="center"/>
                    <w:textAlignment w:val="center"/>
                    <w:rPr>
                      <w:sz w:val="21"/>
                      <w:szCs w:val="21"/>
                    </w:rPr>
                  </w:pPr>
                  <w:r>
                    <w:rPr>
                      <w:sz w:val="21"/>
                      <w:szCs w:val="21"/>
                    </w:rPr>
                    <w:t xml:space="preserve">46.5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bl>
          <w:p>
            <w:pPr>
              <w:adjustRightInd w:val="0"/>
              <w:snapToGrid w:val="0"/>
              <w:spacing w:beforeLines="50" w:line="360" w:lineRule="auto"/>
              <w:ind w:firstLine="482" w:firstLineChars="200"/>
              <w:rPr>
                <w:b/>
                <w:bCs/>
                <w:szCs w:val="24"/>
              </w:rPr>
            </w:pPr>
            <w:r>
              <w:rPr>
                <w:rFonts w:hint="eastAsia"/>
                <w:b/>
                <w:bCs/>
                <w:szCs w:val="24"/>
              </w:rPr>
              <w:t>（4）固体废物</w:t>
            </w:r>
          </w:p>
          <w:p>
            <w:pPr>
              <w:adjustRightInd w:val="0"/>
              <w:snapToGrid w:val="0"/>
              <w:spacing w:line="360" w:lineRule="auto"/>
              <w:ind w:firstLine="480" w:firstLineChars="200"/>
              <w:rPr>
                <w:szCs w:val="24"/>
              </w:rPr>
            </w:pPr>
            <w:r>
              <w:rPr>
                <w:rFonts w:hint="eastAsia"/>
                <w:szCs w:val="24"/>
              </w:rPr>
              <w:t>项目</w:t>
            </w:r>
            <w:r>
              <w:rPr>
                <w:szCs w:val="24"/>
              </w:rPr>
              <w:t>运行期</w:t>
            </w:r>
            <w:r>
              <w:rPr>
                <w:rFonts w:hint="eastAsia"/>
                <w:szCs w:val="24"/>
              </w:rPr>
              <w:t>产生的</w:t>
            </w:r>
            <w:r>
              <w:rPr>
                <w:szCs w:val="24"/>
              </w:rPr>
              <w:t>固体废物主要包括栅渣、沉砂、污泥和职工生活垃圾</w:t>
            </w:r>
            <w:r>
              <w:rPr>
                <w:rFonts w:hint="eastAsia"/>
                <w:szCs w:val="24"/>
              </w:rPr>
              <w:t>。项目产生固废（污泥和生活垃圾）由专人专车定期清运至洱源县军马场进行卫生填埋处理，固废处置率100%。</w:t>
            </w:r>
          </w:p>
          <w:p>
            <w:pPr>
              <w:adjustRightInd w:val="0"/>
              <w:snapToGrid w:val="0"/>
              <w:spacing w:line="360" w:lineRule="auto"/>
              <w:ind w:firstLine="480" w:firstLineChars="200"/>
              <w:rPr>
                <w:szCs w:val="24"/>
              </w:rPr>
            </w:pPr>
          </w:p>
        </w:tc>
      </w:tr>
    </w:tbl>
    <w:p>
      <w:pPr>
        <w:pStyle w:val="5"/>
        <w:spacing w:before="0" w:after="0"/>
        <w:sectPr>
          <w:footerReference r:id="rId13" w:type="default"/>
          <w:pgSz w:w="11906" w:h="16838"/>
          <w:pgMar w:top="1361" w:right="1531" w:bottom="794" w:left="1531" w:header="851" w:footer="737" w:gutter="0"/>
          <w:pgNumType w:start="1"/>
          <w:cols w:space="720" w:num="1"/>
          <w:docGrid w:type="lines" w:linePitch="312" w:charSpace="0"/>
        </w:sectPr>
      </w:pPr>
      <w:bookmarkStart w:id="12" w:name="_Toc16886"/>
    </w:p>
    <w:p>
      <w:pPr>
        <w:pStyle w:val="5"/>
        <w:spacing w:before="0" w:after="0"/>
      </w:pPr>
      <w:r>
        <w:t xml:space="preserve">二 </w:t>
      </w:r>
      <w:r>
        <w:rPr>
          <w:rFonts w:hint="eastAsia"/>
        </w:rPr>
        <w:t>、</w:t>
      </w:r>
      <w:r>
        <w:t>建设项目所在地自然环境简况</w:t>
      </w:r>
      <w:bookmarkEnd w:id="12"/>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0" w:type="dxa"/>
          </w:tcPr>
          <w:p>
            <w:pPr>
              <w:spacing w:line="360" w:lineRule="auto"/>
              <w:ind w:firstLine="482" w:firstLineChars="200"/>
              <w:jc w:val="left"/>
              <w:rPr>
                <w:b/>
                <w:bCs/>
                <w:szCs w:val="24"/>
              </w:rPr>
            </w:pPr>
            <w:r>
              <w:rPr>
                <w:b/>
                <w:bCs/>
                <w:szCs w:val="24"/>
              </w:rPr>
              <w:t>1、地理位置</w:t>
            </w:r>
          </w:p>
          <w:p>
            <w:pPr>
              <w:spacing w:line="360" w:lineRule="auto"/>
              <w:ind w:firstLine="480" w:firstLineChars="200"/>
            </w:pPr>
            <w:r>
              <w:t>洱源县是大理州下辖的 12 个市县之一，东与鹤庆县相连，南与大理市、漾濞</w:t>
            </w:r>
          </w:p>
          <w:p>
            <w:pPr>
              <w:spacing w:line="360" w:lineRule="auto"/>
            </w:pPr>
            <w:r>
              <w:t>县接壤，西与云龙县分疆，北与剑川县相毗邻。全县总面积 2875 平方公里，大丽高速、国道 214 线、省道平甸公路纵贯县境。县城驻茈碧湖镇，海拔 2060米，距省会昆明公路里程389千米，距州府下关公路里程 69 千米。</w:t>
            </w:r>
          </w:p>
          <w:p>
            <w:pPr>
              <w:spacing w:line="360" w:lineRule="auto"/>
              <w:ind w:firstLine="480" w:firstLineChars="200"/>
            </w:pPr>
            <w:r>
              <w:rPr>
                <w:rFonts w:hint="eastAsia"/>
              </w:rPr>
              <w:t>项目区涉及洱源县（洱海流域）范围内的</w:t>
            </w:r>
            <w:r>
              <w:rPr>
                <w:rFonts w:hint="eastAsia" w:ascii="宋体" w:hAnsi="宋体"/>
                <w:szCs w:val="24"/>
              </w:rPr>
              <w:t>6个乡镇5</w:t>
            </w:r>
            <w:r>
              <w:rPr>
                <w:rFonts w:ascii="宋体" w:hAnsi="宋体"/>
                <w:szCs w:val="24"/>
              </w:rPr>
              <w:t>1</w:t>
            </w:r>
            <w:r>
              <w:rPr>
                <w:rFonts w:hint="eastAsia" w:ascii="宋体" w:hAnsi="宋体"/>
                <w:szCs w:val="24"/>
              </w:rPr>
              <w:t>个自然村的管网工程</w:t>
            </w:r>
            <w:r>
              <w:rPr>
                <w:rFonts w:hint="eastAsia"/>
              </w:rPr>
              <w:t>，分别为牛街乡、茈碧湖镇、邓川镇、三营镇、右所镇、凤羽镇</w:t>
            </w:r>
            <w:r>
              <w:t>。</w:t>
            </w:r>
          </w:p>
          <w:p>
            <w:pPr>
              <w:spacing w:line="360" w:lineRule="auto"/>
              <w:ind w:firstLine="480" w:firstLineChars="200"/>
            </w:pPr>
            <w:r>
              <w:t xml:space="preserve">牛街乡：牛街乡地处云南洱源东北，处东经99度59秒，北纬26度15秒，东与鹤庆县接壤，西北与剑川县山水相连。 </w:t>
            </w:r>
          </w:p>
          <w:p>
            <w:pPr>
              <w:spacing w:line="360" w:lineRule="auto"/>
              <w:ind w:firstLine="480" w:firstLineChars="200"/>
            </w:pPr>
            <w:bookmarkStart w:id="13" w:name="OLE_LINK2"/>
            <w:r>
              <w:t>茈碧湖镇：茈碧湖镇是洱源县城驻地，因境内有高原湖泊茈碧湖而得名，始建于 2005 年 12 月初，从落于罗坪山脚下，北距州府大理市 73 公里，东与滇藏公路和三营镇相连，南与右所、凤羽接壤，西与乔后镇相连，北邻剑川县沙溪，是全县政治、经济、文化中心。</w:t>
            </w:r>
          </w:p>
          <w:p>
            <w:pPr>
              <w:spacing w:line="360" w:lineRule="auto"/>
              <w:ind w:firstLine="480" w:firstLineChars="200"/>
            </w:pPr>
            <w:r>
              <w:t>邓川镇：邓川镇是云南省洱源县的南大门，距洱源县城对公里，古为邓赕诏地，境内三江平列如"川"，故名邓川。邓川地势西北高、东南低，但相对平缓。东、南与大理市上关镇接壤</w:t>
            </w:r>
            <w:r>
              <w:rPr>
                <w:rFonts w:hint="eastAsia"/>
              </w:rPr>
              <w:t>，</w:t>
            </w:r>
            <w:r>
              <w:t>西、北毗邻本县的右所镇，镇政府所在地新州。</w:t>
            </w:r>
          </w:p>
          <w:bookmarkEnd w:id="13"/>
          <w:p>
            <w:pPr>
              <w:spacing w:line="360" w:lineRule="auto"/>
              <w:ind w:firstLine="480" w:firstLineChars="200"/>
            </w:pPr>
            <w:r>
              <w:t>三营镇：三营镇位于洱源县城东北部，该镇东与鹤庆县接壤，南与右所镇、茈碧湖镇毗邻，北与牛街阡陌相连，距离县城 17 公里，滇藏公路214国道纵贯南北。</w:t>
            </w:r>
          </w:p>
          <w:p>
            <w:pPr>
              <w:spacing w:line="360" w:lineRule="auto"/>
              <w:ind w:firstLine="480" w:firstLineChars="200"/>
            </w:pPr>
            <w:r>
              <w:t>右所镇：右所镇位于洱源县城东南部</w:t>
            </w:r>
            <w:r>
              <w:rPr>
                <w:rFonts w:hint="eastAsia"/>
              </w:rPr>
              <w:t>，</w:t>
            </w:r>
            <w:r>
              <w:t>东经 100 °</w:t>
            </w:r>
            <w:r>
              <w:rPr>
                <w:rFonts w:hint="eastAsia"/>
              </w:rPr>
              <w:t>3</w:t>
            </w:r>
            <w:r>
              <w:t>′</w:t>
            </w:r>
            <w:r>
              <w:rPr>
                <w:rFonts w:hint="eastAsia"/>
              </w:rPr>
              <w:t>，</w:t>
            </w:r>
            <w:r>
              <w:t>北纬2</w:t>
            </w:r>
            <w:r>
              <w:rPr>
                <w:rFonts w:hint="eastAsia"/>
              </w:rPr>
              <w:t>6</w:t>
            </w:r>
            <w:r>
              <w:t>°</w:t>
            </w:r>
            <w:r>
              <w:rPr>
                <w:rFonts w:hint="eastAsia"/>
              </w:rPr>
              <w:t>1</w:t>
            </w:r>
            <w:r>
              <w:t>′</w:t>
            </w:r>
            <w:r>
              <w:rPr>
                <w:rFonts w:hint="eastAsia"/>
              </w:rPr>
              <w:t>之间，</w:t>
            </w:r>
            <w:r>
              <w:t>东有马鞍山与鹤庆县西邑镇、黄坪镇相靠，南有德源山、云弄峰与邓川镇、上关镇接壤，西枕点苍山延胜与凤羽镇相邻，北依蒲陀山与</w:t>
            </w:r>
            <w:r>
              <w:rPr>
                <w:rFonts w:hint="eastAsia"/>
              </w:rPr>
              <w:t>茈碧湖</w:t>
            </w:r>
            <w:r>
              <w:t>镇、三营镇相接。</w:t>
            </w:r>
          </w:p>
          <w:p>
            <w:pPr>
              <w:spacing w:line="360" w:lineRule="auto"/>
              <w:ind w:firstLine="480" w:firstLineChars="200"/>
              <w:rPr>
                <w:lang w:val="en-GB"/>
              </w:rPr>
            </w:pPr>
            <w:r>
              <w:t>凤羽镇：凤羽镇位于云南省洱源县城西南部，东邻右所，西靠炼铁，南接大理花甸坝和漾濞县脉地乡。</w:t>
            </w:r>
            <w:r>
              <w:rPr>
                <w:rFonts w:hint="eastAsia"/>
              </w:rPr>
              <w:t>项目地理位置图见附图</w:t>
            </w:r>
            <w:r>
              <w:t>1</w:t>
            </w:r>
            <w:r>
              <w:rPr>
                <w:rFonts w:hint="eastAsia"/>
              </w:rPr>
              <w:t>。</w:t>
            </w:r>
          </w:p>
          <w:p>
            <w:pPr>
              <w:spacing w:line="360" w:lineRule="auto"/>
              <w:ind w:firstLine="482" w:firstLineChars="200"/>
              <w:rPr>
                <w:b/>
                <w:bCs/>
                <w:szCs w:val="24"/>
              </w:rPr>
            </w:pPr>
            <w:r>
              <w:rPr>
                <w:b/>
                <w:bCs/>
                <w:szCs w:val="24"/>
              </w:rPr>
              <w:t>2、</w:t>
            </w:r>
            <w:r>
              <w:rPr>
                <w:b/>
              </w:rPr>
              <w:t>地形、地貌</w:t>
            </w:r>
          </w:p>
          <w:p>
            <w:pPr>
              <w:adjustRightInd w:val="0"/>
              <w:snapToGrid w:val="0"/>
              <w:spacing w:line="360" w:lineRule="auto"/>
              <w:ind w:firstLine="480" w:firstLineChars="200"/>
            </w:pPr>
            <w:r>
              <w:t>洱源县地处横断山脉与云贵高原交界地带，境内山岭纵横，层峦叠嶂，湖泊棋布，河流如织，盆地、河谷错落其间。东部马鞍山、中部罗坪山、西部西罗坪山3支主山脉由北向南纵贯全境，县域地势由西北向东南倾斜。东部多有盆地，由北至南分布有牛街、三营、茈碧湖、凤羽、右所、邓川等6个坝区镇乡；西部是高山峡谷，分布有乔后、西山、炼铁3个山区、半山区乡镇。东北部南无山为境内最高点，海拔3958.4米；西部</w:t>
            </w:r>
            <w:r>
              <w:rPr>
                <w:rFonts w:hint="eastAsia"/>
              </w:rPr>
              <w:t>黑惠江</w:t>
            </w:r>
            <w:r>
              <w:t>南出县境处的乌梢箐口为最低点，海拔1645米。</w:t>
            </w:r>
          </w:p>
          <w:p>
            <w:pPr>
              <w:adjustRightInd w:val="0"/>
              <w:snapToGrid w:val="0"/>
              <w:spacing w:line="360" w:lineRule="auto"/>
              <w:ind w:firstLine="480" w:firstLineChars="200"/>
            </w:pPr>
            <w:r>
              <w:rPr>
                <w:rFonts w:hint="eastAsia"/>
              </w:rPr>
              <w:t>牛街乡：全乡地形西面高，东北低，境内山高坡陡。沟壑纵横，沿江对峙。江岸气候温和，夏季炎热；靠近朝天马森林的三合林区一带则“十月大雪飞，三月还降雪”。</w:t>
            </w:r>
          </w:p>
          <w:p>
            <w:pPr>
              <w:adjustRightInd w:val="0"/>
              <w:snapToGrid w:val="0"/>
              <w:spacing w:line="360" w:lineRule="auto"/>
              <w:ind w:firstLine="480" w:firstLineChars="200"/>
            </w:pPr>
            <w:r>
              <w:rPr>
                <w:rFonts w:hint="eastAsia"/>
              </w:rPr>
              <w:t>茈碧湖镇：茈碧湖镇境内山岭纵横、层峦叠嶂、湖泊库塘星罗棋布、山溪河流穿梭如织。北有茈碧湖、西有绿茵塘、南为上村水库三水相围。</w:t>
            </w:r>
          </w:p>
          <w:p>
            <w:pPr>
              <w:adjustRightInd w:val="0"/>
              <w:snapToGrid w:val="0"/>
              <w:spacing w:line="360" w:lineRule="auto"/>
              <w:ind w:firstLine="480" w:firstLineChars="200"/>
            </w:pPr>
            <w:r>
              <w:rPr>
                <w:rFonts w:hint="eastAsia"/>
              </w:rPr>
              <w:t>邓川镇：邓川古为邓赕诏之地，因苴河、罗时江、永安江三江在此并流形成“川”字型而得名。</w:t>
            </w:r>
          </w:p>
          <w:p>
            <w:pPr>
              <w:adjustRightInd w:val="0"/>
              <w:snapToGrid w:val="0"/>
              <w:spacing w:line="360" w:lineRule="auto"/>
              <w:ind w:firstLine="480" w:firstLineChars="200"/>
            </w:pPr>
            <w:r>
              <w:rPr>
                <w:rFonts w:hint="eastAsia"/>
              </w:rPr>
              <w:t>三营镇：地处宁南黄土高原丘陵中部和六盘山山地东北部，境内山多川少。南部、西部为六盘山山地，东部为黄土丘陵，中部、北部为清水河河谷平原。</w:t>
            </w:r>
          </w:p>
          <w:p>
            <w:pPr>
              <w:adjustRightInd w:val="0"/>
              <w:snapToGrid w:val="0"/>
              <w:spacing w:line="360" w:lineRule="auto"/>
              <w:ind w:firstLine="480" w:firstLineChars="200"/>
            </w:pPr>
            <w:r>
              <w:rPr>
                <w:rFonts w:hint="eastAsia"/>
              </w:rPr>
              <w:t>右所镇：右所镇地貌为东、西、北三面高，东南部低，右所坝子四面环山，尤如一个聚宝盆，主要山脉东有马鞍山、西有点苍山延伸的罗时山、北有蒲陀山，最高海拔3255米，最低海拔1910 米，坝区平均1978米。</w:t>
            </w:r>
          </w:p>
          <w:p>
            <w:pPr>
              <w:adjustRightInd w:val="0"/>
              <w:snapToGrid w:val="0"/>
              <w:spacing w:line="360" w:lineRule="auto"/>
              <w:ind w:firstLine="480" w:firstLineChars="200"/>
            </w:pPr>
            <w:r>
              <w:rPr>
                <w:rFonts w:hint="eastAsia"/>
              </w:rPr>
              <w:t>凤羽镇：凤羽镇是一个四面环山的盆地形区域，地形由南向北倾斜，全镇除庄上村委会和上寺村委会的大涧自然村属半山区外，其它均属坝区。</w:t>
            </w:r>
          </w:p>
          <w:p>
            <w:pPr>
              <w:adjustRightInd w:val="0"/>
              <w:snapToGrid w:val="0"/>
              <w:spacing w:line="360" w:lineRule="auto"/>
              <w:ind w:firstLine="482" w:firstLineChars="200"/>
              <w:jc w:val="left"/>
              <w:rPr>
                <w:b/>
                <w:bCs/>
                <w:szCs w:val="24"/>
              </w:rPr>
            </w:pPr>
            <w:r>
              <w:rPr>
                <w:b/>
                <w:bCs/>
                <w:szCs w:val="24"/>
              </w:rPr>
              <w:t xml:space="preserve"> 3、气候气象</w:t>
            </w:r>
          </w:p>
          <w:p>
            <w:pPr>
              <w:adjustRightInd w:val="0"/>
              <w:snapToGrid w:val="0"/>
              <w:spacing w:line="360" w:lineRule="auto"/>
              <w:ind w:firstLine="480" w:firstLineChars="200"/>
              <w:jc w:val="left"/>
              <w:rPr>
                <w:rFonts w:hAnsi="宋体"/>
              </w:rPr>
            </w:pPr>
            <w:r>
              <w:rPr>
                <w:rFonts w:hint="eastAsia" w:hAnsi="宋体"/>
              </w:rPr>
              <w:t>洱源县属北亚热带高原季风气候类型，具有干湿季分明、光照充足、“四序恒温”、立体气候和区域性小气候明显等特点。5～10 月为雨季，近5年年降水量平均值为584.9毫米，50年来最多的是1966 年，达1140.5 毫米，最少的是1958年，仅为 469.7 毫米。年日照多年平均 2061～2439 小时，日照百分率 55～57%。</w:t>
            </w:r>
          </w:p>
          <w:p>
            <w:pPr>
              <w:adjustRightInd w:val="0"/>
              <w:snapToGrid w:val="0"/>
              <w:spacing w:line="360" w:lineRule="auto"/>
              <w:ind w:firstLine="480" w:firstLineChars="200"/>
              <w:jc w:val="left"/>
              <w:rPr>
                <w:rFonts w:hAnsi="宋体"/>
              </w:rPr>
            </w:pPr>
            <w:r>
              <w:rPr>
                <w:rFonts w:hint="eastAsia" w:hAnsi="宋体"/>
              </w:rPr>
              <w:t>洱源坝区（温凉层）多年平均气温13.9℃，50年来极端高温出现在1958年6月2日，达 32.0℃，极端低温出现在1962 年1月4日，为-8.1℃。2月尾“回头霜”，4月初“倒春寒”，5～6 月干旱，7～9 月连续降雨的洪涝，8月底9月初低温，10月“九黄雨”，“一冬干”、“一春干”，偶降大雪，以及局部地区的冰雹，是境内发生的主要灾害性气候。</w:t>
            </w:r>
          </w:p>
          <w:p>
            <w:pPr>
              <w:adjustRightInd w:val="0"/>
              <w:snapToGrid w:val="0"/>
              <w:spacing w:line="360" w:lineRule="auto"/>
              <w:ind w:firstLine="480" w:firstLineChars="200"/>
              <w:jc w:val="left"/>
              <w:rPr>
                <w:rFonts w:hAnsi="宋体"/>
              </w:rPr>
            </w:pPr>
            <w:r>
              <w:rPr>
                <w:rFonts w:hint="eastAsia" w:hAnsi="宋体"/>
              </w:rPr>
              <w:t>牛街乡：境内地形主要以河谷盆地（平坎）相结合，地形呈东北至西南走向，地势东北高，西南低。海拔最高点马鞍山顶 3958 米，牛街属北亚热带气候类型，</w:t>
            </w:r>
          </w:p>
          <w:p>
            <w:pPr>
              <w:adjustRightInd w:val="0"/>
              <w:snapToGrid w:val="0"/>
              <w:spacing w:line="360" w:lineRule="auto"/>
              <w:ind w:firstLine="480" w:firstLineChars="200"/>
              <w:jc w:val="left"/>
              <w:rPr>
                <w:rFonts w:hAnsi="宋体"/>
              </w:rPr>
            </w:pPr>
            <w:r>
              <w:rPr>
                <w:rFonts w:hint="eastAsia" w:hAnsi="宋体"/>
              </w:rPr>
              <w:t>年平均气温14.5℃，最热月8月平均气温 26.5℃，最冷月1月平均气温4℃，年均降雨量850毫米。</w:t>
            </w:r>
          </w:p>
          <w:p>
            <w:pPr>
              <w:adjustRightInd w:val="0"/>
              <w:snapToGrid w:val="0"/>
              <w:spacing w:line="360" w:lineRule="auto"/>
              <w:ind w:firstLine="480" w:firstLineChars="200"/>
              <w:jc w:val="left"/>
              <w:rPr>
                <w:rFonts w:hAnsi="宋体"/>
              </w:rPr>
            </w:pPr>
            <w:r>
              <w:rPr>
                <w:rFonts w:hint="eastAsia" w:hAnsi="宋体"/>
              </w:rPr>
              <w:t>茈碧湖镇：茈碧湖镇是典型的高原湿润季风气候，形成了冬无严寒，夏无酷暑，气候温和，雨量充沛的优越条件，构成水乡泽国及天然草场，集冷水、热水为一体等形成了许多罕见的自然景观，是人类最佳的生存居住环境之一。</w:t>
            </w:r>
          </w:p>
          <w:p>
            <w:pPr>
              <w:adjustRightInd w:val="0"/>
              <w:snapToGrid w:val="0"/>
              <w:spacing w:line="360" w:lineRule="auto"/>
              <w:ind w:firstLine="480" w:firstLineChars="200"/>
              <w:jc w:val="left"/>
              <w:rPr>
                <w:rFonts w:hAnsi="宋体"/>
              </w:rPr>
            </w:pPr>
            <w:r>
              <w:rPr>
                <w:rFonts w:hint="eastAsia" w:hAnsi="宋体"/>
              </w:rPr>
              <w:t>邓川镇：邓川坝属断陷湖滨盆地，最高海拔是卧牛山 3400 米，最低海拔为中</w:t>
            </w:r>
          </w:p>
          <w:p>
            <w:pPr>
              <w:adjustRightInd w:val="0"/>
              <w:snapToGrid w:val="0"/>
              <w:spacing w:line="360" w:lineRule="auto"/>
              <w:jc w:val="left"/>
              <w:rPr>
                <w:rFonts w:hAnsi="宋体"/>
              </w:rPr>
            </w:pPr>
            <w:r>
              <w:rPr>
                <w:rFonts w:hint="eastAsia" w:hAnsi="宋体"/>
              </w:rPr>
              <w:t>和桥1970米，水系属澜沧江水系，年径流量 0.138 亿立方米。属低纬度高原季风性气候，年降雨量在 800～1100 毫米之间，年日照时间 2440 小时，无霜期 240 天，二月、八月时有低温天气，年平均气温在 15℃左右，年平均相对湿度为 69%。</w:t>
            </w:r>
          </w:p>
          <w:p>
            <w:pPr>
              <w:adjustRightInd w:val="0"/>
              <w:snapToGrid w:val="0"/>
              <w:spacing w:line="360" w:lineRule="auto"/>
              <w:ind w:firstLine="480" w:firstLineChars="200"/>
              <w:jc w:val="left"/>
              <w:rPr>
                <w:rFonts w:hAnsi="宋体"/>
              </w:rPr>
            </w:pPr>
            <w:r>
              <w:rPr>
                <w:rFonts w:hint="eastAsia" w:hAnsi="宋体"/>
              </w:rPr>
              <w:t>三营镇：地势呈北高南低，属亚热带季风气候。镇人民政府驻地三营街，距县城 17 公里，海拔 2110 米，年均气温 14.2℃，年均降雨量 800 毫米。</w:t>
            </w:r>
          </w:p>
          <w:p>
            <w:pPr>
              <w:adjustRightInd w:val="0"/>
              <w:snapToGrid w:val="0"/>
              <w:spacing w:line="360" w:lineRule="auto"/>
              <w:ind w:firstLine="480" w:firstLineChars="200"/>
              <w:jc w:val="left"/>
              <w:rPr>
                <w:rFonts w:hAnsi="宋体"/>
              </w:rPr>
            </w:pPr>
            <w:r>
              <w:rPr>
                <w:rFonts w:hint="eastAsia" w:hAnsi="宋体"/>
              </w:rPr>
              <w:t>右所镇：镇内最低海拔 1733 米，最高海拔 2380 米，全镇山、水、林、田、矿产、旅游资源十分丰富，境内气候冬暖夏凉，四季如春，冬季少雨，夏秋多雨，雨热同季，日照充足，冬夏温差11℃，年平均气温15.5℃，年极端最高温度33.7℃，最低温度-3.9℃，年平均日照2102小时，年平均降雨量 594 毫米，无霜期 274 天，土地肥沃，自然条件优越，耕作管理水平较高，农业生产历史悠久，盛产水稻、烤烟、大蒜、小麦、玉米、蚕豆、荷藕、菜豌豆等粮经作物。</w:t>
            </w:r>
          </w:p>
          <w:p>
            <w:pPr>
              <w:pStyle w:val="23"/>
              <w:adjustRightInd w:val="0"/>
              <w:spacing w:line="360" w:lineRule="auto"/>
              <w:ind w:firstLine="480" w:firstLineChars="200"/>
              <w:rPr>
                <w:rFonts w:hAnsi="宋体"/>
                <w:sz w:val="24"/>
              </w:rPr>
            </w:pPr>
            <w:r>
              <w:rPr>
                <w:rFonts w:hint="eastAsia" w:hAnsi="宋体"/>
                <w:sz w:val="24"/>
              </w:rPr>
              <w:t>凤羽镇：凤羽属亚热带高原山地立体气候，年平均气温 13℃，年降雨量 750</w:t>
            </w:r>
          </w:p>
          <w:p>
            <w:pPr>
              <w:pStyle w:val="23"/>
              <w:adjustRightInd w:val="0"/>
              <w:spacing w:line="360" w:lineRule="auto"/>
              <w:rPr>
                <w:rFonts w:hAnsi="宋体"/>
                <w:sz w:val="24"/>
              </w:rPr>
            </w:pPr>
            <w:r>
              <w:rPr>
                <w:rFonts w:hint="eastAsia" w:hAnsi="宋体"/>
                <w:sz w:val="24"/>
              </w:rPr>
              <w:t>毫米，常年主导风向为西南风。镇内洪涝，春冬干旱，低温、霜冻和冰雹等自然灾害时有发生。</w:t>
            </w:r>
          </w:p>
          <w:p>
            <w:pPr>
              <w:adjustRightInd w:val="0"/>
              <w:snapToGrid w:val="0"/>
              <w:spacing w:line="360" w:lineRule="auto"/>
              <w:ind w:firstLine="482" w:firstLineChars="200"/>
              <w:jc w:val="left"/>
              <w:rPr>
                <w:b/>
                <w:bCs/>
                <w:szCs w:val="24"/>
              </w:rPr>
            </w:pPr>
            <w:r>
              <w:rPr>
                <w:b/>
                <w:bCs/>
                <w:szCs w:val="24"/>
              </w:rPr>
              <w:t>4、水文水系</w:t>
            </w:r>
          </w:p>
          <w:p>
            <w:pPr>
              <w:adjustRightInd w:val="0"/>
              <w:snapToGrid w:val="0"/>
              <w:spacing w:line="360" w:lineRule="auto"/>
              <w:ind w:firstLine="480" w:firstLineChars="200"/>
              <w:rPr>
                <w:rFonts w:hAnsi="宋体"/>
              </w:rPr>
            </w:pPr>
            <w:r>
              <w:rPr>
                <w:rFonts w:hint="eastAsia" w:hAnsi="宋体"/>
              </w:rPr>
              <w:t>项目范围内的水系属于弥苴河水系，由弥苴河、罗时江、永安江三个小流域构成，具体包括弥茨河、凤羽河、弥苴河、罗时江和永安江5条主要河流，最终注入洱海。</w:t>
            </w:r>
          </w:p>
          <w:p>
            <w:pPr>
              <w:adjustRightInd w:val="0"/>
              <w:snapToGrid w:val="0"/>
              <w:spacing w:line="360" w:lineRule="auto"/>
              <w:ind w:firstLine="480" w:firstLineChars="200"/>
              <w:rPr>
                <w:rFonts w:hAnsi="宋体"/>
              </w:rPr>
            </w:pPr>
            <w:r>
              <w:rPr>
                <w:rFonts w:hint="eastAsia" w:hAnsi="宋体"/>
              </w:rPr>
              <w:t>（1）弥苴河水系</w:t>
            </w:r>
          </w:p>
          <w:p>
            <w:pPr>
              <w:adjustRightInd w:val="0"/>
              <w:snapToGrid w:val="0"/>
              <w:spacing w:line="360" w:lineRule="auto"/>
              <w:ind w:firstLine="480" w:firstLineChars="200"/>
              <w:rPr>
                <w:rFonts w:hAnsi="宋体"/>
              </w:rPr>
            </w:pPr>
            <w:r>
              <w:rPr>
                <w:rFonts w:hint="eastAsia" w:hAnsi="宋体"/>
              </w:rPr>
              <w:t>弥苴河水系由一主二支两湖组成，即主干道弥苴河、弥茨河与凤羽河两条支流、海西海与茈碧湖两个湖泊。弥苴河水系沿途汇集海西海、茈碧湖两个湖泊出水，以及凤羽河、三营河、黑石涧、白沙河、南河涧、青石江、白石江、铁甲河等40余条入河支流，主河经下山口穿过右所-邓川坝子，于上关镇入湖。总径流面积 1003.88km</w:t>
            </w:r>
            <w:r>
              <w:rPr>
                <w:rFonts w:hint="eastAsia" w:hAnsi="宋体"/>
                <w:vertAlign w:val="superscript"/>
              </w:rPr>
              <w:t xml:space="preserve"> 2</w:t>
            </w:r>
            <w:r>
              <w:rPr>
                <w:rFonts w:hint="eastAsia" w:hAnsi="宋体"/>
              </w:rPr>
              <w:t xml:space="preserve"> ，水系全长76.08km，年均径流量1.67亿m</w:t>
            </w:r>
            <w:r>
              <w:rPr>
                <w:rFonts w:hint="eastAsia" w:hAnsi="宋体"/>
                <w:vertAlign w:val="superscript"/>
              </w:rPr>
              <w:t xml:space="preserve"> 3</w:t>
            </w:r>
            <w:r>
              <w:rPr>
                <w:rFonts w:hint="eastAsia" w:hAnsi="宋体"/>
              </w:rPr>
              <w:t xml:space="preserve"> ，占洱海年均径流量的33.3%。</w:t>
            </w:r>
          </w:p>
          <w:p>
            <w:pPr>
              <w:adjustRightInd w:val="0"/>
              <w:snapToGrid w:val="0"/>
              <w:spacing w:line="360" w:lineRule="auto"/>
              <w:ind w:firstLine="480" w:firstLineChars="200"/>
              <w:rPr>
                <w:rFonts w:hAnsi="宋体"/>
              </w:rPr>
            </w:pPr>
            <w:r>
              <w:rPr>
                <w:rFonts w:hint="eastAsia" w:hAnsi="宋体"/>
              </w:rPr>
              <w:t>①弥茨河支流</w:t>
            </w:r>
          </w:p>
          <w:p>
            <w:pPr>
              <w:adjustRightInd w:val="0"/>
              <w:snapToGrid w:val="0"/>
              <w:spacing w:line="360" w:lineRule="auto"/>
              <w:ind w:firstLine="480" w:firstLineChars="200"/>
              <w:rPr>
                <w:rFonts w:hAnsi="宋体"/>
              </w:rPr>
            </w:pPr>
            <w:r>
              <w:rPr>
                <w:rFonts w:hint="eastAsia" w:hAnsi="宋体"/>
              </w:rPr>
              <w:t>弥苴河水系发源于洱源县境内牛街乡东北长木箐北山西坡，沿途汇集海西海、茈碧湖两个湖泊出水，于下山口处汇集凤羽河向南流去，其源头至下山口段河道称为弥茨河，弥茨河河道全长43.4km，属于季节性河流，主要功能为灌溉。弥茨河由北向南流经海西海、牛街乡、 三营镇，至大凹山闸后一分为二，由人工控制，一是经原河道季节性地流入茈碧湖，成为茈 碧湖的水源之一，分洪闸以上主河长38km，径流面积为508 km</w:t>
            </w:r>
            <w:r>
              <w:rPr>
                <w:rFonts w:hint="eastAsia" w:hAnsi="宋体"/>
                <w:vertAlign w:val="superscript"/>
              </w:rPr>
              <w:t>2</w:t>
            </w:r>
            <w:r>
              <w:rPr>
                <w:rFonts w:hint="eastAsia" w:hAnsi="宋体"/>
              </w:rPr>
              <w:t>；二是经分洪沟流至洱源坝 尾的三江口与凤羽河汇合。</w:t>
            </w:r>
          </w:p>
          <w:p>
            <w:pPr>
              <w:adjustRightInd w:val="0"/>
              <w:snapToGrid w:val="0"/>
              <w:spacing w:line="360" w:lineRule="auto"/>
              <w:ind w:firstLine="480" w:firstLineChars="200"/>
              <w:rPr>
                <w:rFonts w:hAnsi="宋体"/>
              </w:rPr>
            </w:pPr>
            <w:r>
              <w:rPr>
                <w:rFonts w:hint="eastAsia" w:hAnsi="宋体"/>
              </w:rPr>
              <w:t>②凤羽河</w:t>
            </w:r>
          </w:p>
          <w:p>
            <w:pPr>
              <w:adjustRightInd w:val="0"/>
              <w:snapToGrid w:val="0"/>
              <w:spacing w:line="360" w:lineRule="auto"/>
              <w:ind w:firstLine="480" w:firstLineChars="200"/>
              <w:rPr>
                <w:rFonts w:hAnsi="宋体"/>
              </w:rPr>
            </w:pPr>
            <w:r>
              <w:rPr>
                <w:rFonts w:hint="eastAsia" w:hAnsi="宋体"/>
              </w:rPr>
              <w:t>凤羽河为弥苴河南支，发源于洱源县凤羽镇清源洞，由南向北流经凤羽、穿山关峡谷入洱源坝，至上村闸后，一分为二，一是经原河道流入茈碧湖、二是经分洪沟流至三江口与海尾河汇合，泻入龙马涧峡谷至下山口后，汇成为弥苴河主河段。凤羽河全长33.6km，入湖支流15条，径流面积249.4km</w:t>
            </w:r>
            <w:r>
              <w:rPr>
                <w:rFonts w:hint="eastAsia" w:hAnsi="宋体"/>
                <w:vertAlign w:val="superscript"/>
              </w:rPr>
              <w:t xml:space="preserve"> 2</w:t>
            </w:r>
            <w:r>
              <w:rPr>
                <w:rFonts w:hint="eastAsia" w:hAnsi="宋体"/>
              </w:rPr>
              <w:t xml:space="preserve"> 。</w:t>
            </w:r>
          </w:p>
          <w:p>
            <w:pPr>
              <w:adjustRightInd w:val="0"/>
              <w:snapToGrid w:val="0"/>
              <w:spacing w:line="360" w:lineRule="auto"/>
              <w:ind w:firstLine="480" w:firstLineChars="200"/>
              <w:rPr>
                <w:rFonts w:hAnsi="宋体"/>
              </w:rPr>
            </w:pPr>
            <w:r>
              <w:rPr>
                <w:rFonts w:hint="eastAsia" w:hAnsi="宋体"/>
              </w:rPr>
              <w:t>（2）罗时江</w:t>
            </w:r>
          </w:p>
          <w:p>
            <w:pPr>
              <w:adjustRightInd w:val="0"/>
              <w:snapToGrid w:val="0"/>
              <w:spacing w:line="360" w:lineRule="auto"/>
              <w:ind w:firstLine="480" w:firstLineChars="200"/>
              <w:rPr>
                <w:rFonts w:hAnsi="宋体"/>
              </w:rPr>
            </w:pPr>
            <w:r>
              <w:rPr>
                <w:rFonts w:hint="eastAsia" w:hAnsi="宋体"/>
              </w:rPr>
              <w:t>罗时江发源于发源于洱源县右所中和村和兆邑村交界处，上游属洱源县，下游属大理市。罗时江流向从北向南，自右所镇大楼桥起，流经绿玉池后，在士庞村、鸡鸣村、波头村右侧进入西湖，过新州、中和、兆邑，南至沙坪九孔桥注入洱海，沿途汇鸡鸣后山涧、起始河涧、凤藏涧、圣母涧、龙王涧、南门涧、落溪涧等山溪水及兆邑黑泥沟水。罗时江径流面积为 122.75km</w:t>
            </w:r>
            <w:r>
              <w:rPr>
                <w:rFonts w:hint="eastAsia" w:hAnsi="宋体"/>
                <w:vertAlign w:val="superscript"/>
              </w:rPr>
              <w:t>2</w:t>
            </w:r>
            <w:r>
              <w:rPr>
                <w:rFonts w:hint="eastAsia" w:hAnsi="宋体"/>
              </w:rPr>
              <w:t xml:space="preserve"> ，全长 18.29km（其中西湖湖长 3.3km）。</w:t>
            </w:r>
          </w:p>
          <w:p>
            <w:pPr>
              <w:adjustRightInd w:val="0"/>
              <w:snapToGrid w:val="0"/>
              <w:spacing w:line="360" w:lineRule="auto"/>
              <w:ind w:firstLine="480" w:firstLineChars="200"/>
              <w:rPr>
                <w:rFonts w:hAnsi="宋体"/>
              </w:rPr>
            </w:pPr>
            <w:r>
              <w:rPr>
                <w:rFonts w:hint="eastAsia" w:hAnsi="宋体"/>
              </w:rPr>
              <w:t>（3）永安江</w:t>
            </w:r>
          </w:p>
          <w:p>
            <w:pPr>
              <w:adjustRightInd w:val="0"/>
              <w:snapToGrid w:val="0"/>
              <w:spacing w:line="360" w:lineRule="auto"/>
              <w:ind w:firstLine="480" w:firstLineChars="200"/>
              <w:rPr>
                <w:b/>
                <w:bCs/>
              </w:rPr>
            </w:pPr>
            <w:r>
              <w:rPr>
                <w:rFonts w:hint="eastAsia" w:hAnsi="宋体"/>
              </w:rPr>
              <w:t>永安江有新老两支，主河道（新永安江）由下山口弥苴河向东分流，汇集东山泉水形成。老永安江发源于洱源县右所镇松曲村委会团山村，位于永安江主河道东侧，与主河道并行而流，全长 7.8km。永安江主河道贯通东湖区，于青索村与老永安江汇合，向南至上关白马登入洱海，沿途汇集草海子、水磨箐、鲤泉水、老马涧、青石涧等山箐水。永安江河道全长18.35km，径流面积110.25km</w:t>
            </w:r>
            <w:r>
              <w:rPr>
                <w:rFonts w:hint="eastAsia" w:hAnsi="宋体"/>
                <w:vertAlign w:val="superscript"/>
              </w:rPr>
              <w:t xml:space="preserve"> 2</w:t>
            </w:r>
            <w:r>
              <w:rPr>
                <w:rFonts w:hint="eastAsia" w:hAnsi="宋体"/>
              </w:rPr>
              <w:t xml:space="preserve"> ，是洱海重要的补给水源之一。</w:t>
            </w:r>
          </w:p>
          <w:p>
            <w:pPr>
              <w:adjustRightInd w:val="0"/>
              <w:snapToGrid w:val="0"/>
              <w:spacing w:line="360" w:lineRule="auto"/>
              <w:ind w:firstLine="480" w:firstLineChars="200"/>
              <w:rPr>
                <w:rFonts w:hAnsi="宋体"/>
              </w:rPr>
            </w:pPr>
            <w:r>
              <w:rPr>
                <w:rFonts w:hint="eastAsia" w:hAnsi="宋体"/>
              </w:rPr>
              <w:t>（4）西湖</w:t>
            </w:r>
          </w:p>
          <w:p>
            <w:pPr>
              <w:adjustRightInd w:val="0"/>
              <w:snapToGrid w:val="0"/>
              <w:spacing w:line="360" w:lineRule="auto"/>
              <w:ind w:firstLine="480" w:firstLineChars="200"/>
              <w:rPr>
                <w:rFonts w:hAnsi="宋体"/>
              </w:rPr>
            </w:pPr>
            <w:r>
              <w:rPr>
                <w:rFonts w:hint="eastAsia" w:hAnsi="宋体"/>
              </w:rPr>
              <w:t>洱源西湖位于洱源县右所西部的佛钟山麓，为高原平坝淡水湖。由西湖、江尾、罗平山三个片区和螺蛳江游览线组成。西湖湖面 3.3 平方公里，系高原断陷湖泊，平均水深 1.8 米，最深 3.3 米，是洱海的重要水源之一。项目区水系图见附图5。</w:t>
            </w:r>
          </w:p>
          <w:p>
            <w:pPr>
              <w:adjustRightInd w:val="0"/>
              <w:snapToGrid w:val="0"/>
              <w:spacing w:line="360" w:lineRule="auto"/>
              <w:ind w:firstLine="472" w:firstLineChars="196"/>
              <w:rPr>
                <w:b/>
                <w:bCs/>
              </w:rPr>
            </w:pPr>
            <w:r>
              <w:rPr>
                <w:b/>
                <w:bCs/>
              </w:rPr>
              <w:t>5、</w:t>
            </w:r>
            <w:r>
              <w:rPr>
                <w:rFonts w:hint="eastAsia"/>
                <w:b/>
                <w:bCs/>
              </w:rPr>
              <w:t>生态特征</w:t>
            </w:r>
          </w:p>
          <w:p>
            <w:pPr>
              <w:adjustRightInd w:val="0"/>
              <w:snapToGrid w:val="0"/>
              <w:spacing w:line="360" w:lineRule="auto"/>
              <w:ind w:firstLine="470" w:firstLineChars="196"/>
            </w:pPr>
            <w:r>
              <w:rPr>
                <w:rFonts w:hint="eastAsia"/>
              </w:rPr>
              <w:t>洱源属高原亚热带常绿阔叶林地带，原生植被以元江栲、高山栲、滇青冈、滇石砾为主的半湿润常绿阔叶林，原生植被在长期干扰下基本不复存在，现存植被类型基本为次生植被，可划分为针叶林、阔叶林、稀树灌木草丛、草甸 5 个植被类型，共 17 个植被群系。以云南松、华山松、云南油杉、云南铁杉、油麦吊云杉为代表，分布面积广。洱源野生动植物资源多样性特点突出。境内高山、亚高山与河谷、盆地相间，具备亚热带至高山寒温带的各种自然环境。现存蕨类以上高等植物 700 多种，种44子植物的 15 个地理成分齐全，有国家级珍稀濒危植物 11 种(一类 1 种，二类 10种)。在主要森林植被类型中，针叶林地域分布最广。常见树种分属 43 科、95 属、249 种。鸟类有上百种。境内有国家重点保护的野生动物 22 种，其中一类的有金钱豹和黑鹿两种。中草药材品种多、蕴藏量大，植物类达 860 种，动物类也有 10 余种。花卉资源中，兰科植物约有 16属、120 种。洱源，家养兰花历史悠久，名品迭出，是全国闻名的“兰花之乡”。</w:t>
            </w:r>
          </w:p>
          <w:p>
            <w:pPr>
              <w:adjustRightInd w:val="0"/>
              <w:snapToGrid w:val="0"/>
              <w:spacing w:line="360" w:lineRule="auto"/>
              <w:ind w:firstLine="472" w:firstLineChars="196"/>
              <w:rPr>
                <w:b/>
                <w:bCs/>
              </w:rPr>
            </w:pPr>
            <w:r>
              <w:rPr>
                <w:rFonts w:hint="eastAsia"/>
                <w:b/>
                <w:bCs/>
              </w:rPr>
              <w:t>6</w:t>
            </w:r>
            <w:r>
              <w:rPr>
                <w:b/>
                <w:bCs/>
              </w:rPr>
              <w:t>、土壤</w:t>
            </w:r>
          </w:p>
          <w:p>
            <w:pPr>
              <w:pStyle w:val="23"/>
              <w:adjustRightInd w:val="0"/>
              <w:spacing w:line="360" w:lineRule="auto"/>
              <w:ind w:firstLine="480" w:firstLineChars="200"/>
            </w:pPr>
            <w:r>
              <w:rPr>
                <w:rFonts w:hint="eastAsia" w:hAnsi="宋体"/>
                <w:sz w:val="24"/>
              </w:rPr>
              <w:t>洱源县内土壤受到地质、地形、气候、生物、人类活动等诸多因素的长期作用，类型多种多样，垂直分布部分明显，一共有 9 个土类，16 个亚类，31 个土属，51 个土种，以红壤和紫色土为主。</w:t>
            </w:r>
          </w:p>
          <w:p>
            <w:pPr>
              <w:adjustRightInd w:val="0"/>
              <w:snapToGrid w:val="0"/>
              <w:spacing w:line="360" w:lineRule="auto"/>
              <w:ind w:firstLine="472" w:firstLineChars="196"/>
              <w:rPr>
                <w:b/>
                <w:bCs/>
              </w:rPr>
            </w:pPr>
            <w:r>
              <w:rPr>
                <w:rFonts w:hint="eastAsia"/>
                <w:b/>
                <w:bCs/>
              </w:rPr>
              <w:t>7、相关规划概况</w:t>
            </w:r>
          </w:p>
          <w:p>
            <w:pPr>
              <w:adjustRightInd w:val="0"/>
              <w:snapToGrid w:val="0"/>
              <w:spacing w:line="360" w:lineRule="auto"/>
              <w:ind w:firstLine="470" w:firstLineChars="196"/>
            </w:pPr>
            <w:r>
              <w:rPr>
                <w:rFonts w:hint="eastAsia"/>
              </w:rPr>
              <w:t>《云南省洱源县城市总体规划（2012-2030）》、《洱海流域绿色保护规划》（2011）、《洱海保护与流域生态建设“十三五”规划(2016-2020)》、《洱源县（洱海流域）城镇及村落污水收集处理规划》等规划与本项目相关。</w:t>
            </w:r>
          </w:p>
          <w:p>
            <w:pPr>
              <w:adjustRightInd w:val="0"/>
              <w:snapToGrid w:val="0"/>
              <w:spacing w:line="360" w:lineRule="auto"/>
              <w:ind w:firstLine="470" w:firstLineChars="196"/>
            </w:pPr>
            <w:r>
              <w:rPr>
                <w:rFonts w:hint="eastAsia"/>
              </w:rPr>
              <w:t>《云南省洱源县城市总体规划（2012-2030）》规划了洱源县 2012-2030 年的规划人口，城镇化水平等，为本工程的设计人口、水量分析，提供了可靠的参考基础数据。</w:t>
            </w:r>
          </w:p>
          <w:p>
            <w:pPr>
              <w:adjustRightInd w:val="0"/>
              <w:snapToGrid w:val="0"/>
              <w:spacing w:line="360" w:lineRule="auto"/>
              <w:ind w:firstLine="470" w:firstLineChars="196"/>
            </w:pPr>
            <w:r>
              <w:rPr>
                <w:rFonts w:hint="eastAsia"/>
              </w:rPr>
              <w:t xml:space="preserve">《洱海保护与流域生态建设“十三五”规划(2016-2020)》共设置 6 大类工程，包括空间布局及产业结构优化减排工程、节水与水资源统筹利用工程、流域截污治污体系建设工程、河流清水入湖与缓冲带生态建设工程、湖泊生态修复与水生态调控工程、流域监管与保障工程。通过规划的实施可初步构建与Ⅱ类水质相适应的清洁、绿色、少污染的洱海流域，确保洱海水质达到Ⅱ类水质，实现水生态监看、安全，在洱海流域内实现生态文明，构建社会、经济、环境和谐稳定可持续发展的流域。本工程为“流域截污治污体系建设工程”中的一部分。 </w:t>
            </w:r>
          </w:p>
          <w:p>
            <w:pPr>
              <w:adjustRightInd w:val="0"/>
              <w:snapToGrid w:val="0"/>
              <w:spacing w:line="360" w:lineRule="auto"/>
              <w:ind w:firstLine="470" w:firstLineChars="196"/>
            </w:pPr>
            <w:r>
              <w:rPr>
                <w:rFonts w:hint="eastAsia"/>
              </w:rPr>
              <w:t>《洱源县（洱海流域）城镇及村落污水收集处理规划》对城镇污水收集及处理工程、村落污水收集及处理工程、工业园区污水收集及处理工程、温泉洗浴污水收集及处理工程做了规划，是本项目的基础。</w:t>
            </w:r>
          </w:p>
          <w:p/>
        </w:tc>
      </w:tr>
    </w:tbl>
    <w:p>
      <w:pPr>
        <w:pStyle w:val="5"/>
        <w:spacing w:before="0" w:after="0" w:line="240" w:lineRule="auto"/>
      </w:pPr>
      <w:bookmarkStart w:id="14" w:name="_Toc17955"/>
      <w:r>
        <w:br w:type="page"/>
      </w:r>
      <w:r>
        <w:t>三、环境质量状况</w:t>
      </w:r>
      <w:bookmarkEnd w:id="14"/>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5" w:hRule="atLeast"/>
          <w:jc w:val="center"/>
        </w:trPr>
        <w:tc>
          <w:tcPr>
            <w:tcW w:w="9060" w:type="dxa"/>
          </w:tcPr>
          <w:p>
            <w:pPr>
              <w:rPr>
                <w:b/>
                <w:bCs/>
                <w:sz w:val="28"/>
                <w:szCs w:val="28"/>
              </w:rPr>
            </w:pPr>
            <w:r>
              <w:rPr>
                <w:b/>
                <w:sz w:val="28"/>
                <w:szCs w:val="28"/>
              </w:rPr>
              <w:t>建设项目所在地区域环境质量现状及主要环境问题</w:t>
            </w:r>
            <w:r>
              <w:rPr>
                <w:b/>
                <w:bCs/>
                <w:sz w:val="28"/>
                <w:szCs w:val="28"/>
              </w:rPr>
              <w:t>（地</w:t>
            </w:r>
            <w:r>
              <w:rPr>
                <w:rFonts w:hint="eastAsia"/>
                <w:b/>
                <w:bCs/>
                <w:sz w:val="28"/>
                <w:szCs w:val="28"/>
              </w:rPr>
              <w:t>表</w:t>
            </w:r>
            <w:r>
              <w:rPr>
                <w:b/>
                <w:bCs/>
                <w:sz w:val="28"/>
                <w:szCs w:val="28"/>
              </w:rPr>
              <w:t>水、环境空气、声环境、地下水、生态环境等）：</w:t>
            </w:r>
          </w:p>
          <w:p>
            <w:pPr>
              <w:adjustRightInd w:val="0"/>
              <w:snapToGrid w:val="0"/>
              <w:spacing w:line="360" w:lineRule="auto"/>
              <w:ind w:firstLine="482" w:firstLineChars="200"/>
              <w:rPr>
                <w:szCs w:val="24"/>
              </w:rPr>
            </w:pPr>
            <w:r>
              <w:rPr>
                <w:b/>
                <w:szCs w:val="24"/>
              </w:rPr>
              <w:t>1、</w:t>
            </w:r>
            <w:r>
              <w:rPr>
                <w:rFonts w:hint="eastAsia"/>
                <w:b/>
                <w:szCs w:val="24"/>
              </w:rPr>
              <w:t>地表</w:t>
            </w:r>
            <w:r>
              <w:rPr>
                <w:b/>
                <w:szCs w:val="24"/>
              </w:rPr>
              <w:t>水环境质量状况</w:t>
            </w:r>
          </w:p>
          <w:p>
            <w:pPr>
              <w:adjustRightInd w:val="0"/>
              <w:snapToGrid w:val="0"/>
              <w:spacing w:line="360" w:lineRule="auto"/>
              <w:ind w:firstLine="480" w:firstLineChars="200"/>
              <w:rPr>
                <w:color w:val="FF0000"/>
                <w:szCs w:val="21"/>
              </w:rPr>
            </w:pPr>
            <w:r>
              <w:rPr>
                <w:rFonts w:hint="eastAsia"/>
                <w:szCs w:val="24"/>
              </w:rPr>
              <w:t>项目区域的水系由弥苴河、罗时江、永安江三个小流域构成，具体包括弥茨河、凤羽河、海尾河、弥苴河、罗时江和永安江6条主要河流。</w:t>
            </w:r>
            <w:r>
              <w:rPr>
                <w:kern w:val="0"/>
                <w:szCs w:val="24"/>
              </w:rPr>
              <w:t>经查</w:t>
            </w:r>
            <w:r>
              <w:rPr>
                <w:rFonts w:hint="eastAsia"/>
                <w:kern w:val="0"/>
                <w:szCs w:val="24"/>
              </w:rPr>
              <w:t>2019年的九大高原湖泊水质监测月报及大理州水污染防治考核断面监测月报</w:t>
            </w:r>
            <w:r>
              <w:rPr>
                <w:kern w:val="0"/>
                <w:szCs w:val="24"/>
              </w:rPr>
              <w:t>，</w:t>
            </w:r>
            <w:r>
              <w:rPr>
                <w:rFonts w:hint="eastAsia"/>
                <w:szCs w:val="24"/>
              </w:rPr>
              <w:t>弥苴河</w:t>
            </w:r>
            <w:r>
              <w:rPr>
                <w:kern w:val="0"/>
                <w:szCs w:val="24"/>
              </w:rPr>
              <w:t>只有</w:t>
            </w:r>
            <w:r>
              <w:rPr>
                <w:rFonts w:hint="eastAsia"/>
                <w:kern w:val="0"/>
                <w:szCs w:val="24"/>
              </w:rPr>
              <w:t>3个月水质能够</w:t>
            </w:r>
            <w:r>
              <w:rPr>
                <w:kern w:val="0"/>
                <w:szCs w:val="24"/>
              </w:rPr>
              <w:t>达到《地表水环境质量标准》（GB3838-2002）中</w:t>
            </w:r>
            <w:r>
              <w:rPr>
                <w:szCs w:val="24"/>
              </w:rPr>
              <w:t>Ⅱ类水质标准，</w:t>
            </w:r>
            <w:r>
              <w:rPr>
                <w:kern w:val="0"/>
                <w:szCs w:val="24"/>
              </w:rPr>
              <w:t>其余</w:t>
            </w:r>
            <w:r>
              <w:rPr>
                <w:rFonts w:hint="eastAsia"/>
                <w:kern w:val="0"/>
                <w:szCs w:val="24"/>
              </w:rPr>
              <w:t>9个月均</w:t>
            </w:r>
            <w:r>
              <w:rPr>
                <w:szCs w:val="24"/>
              </w:rPr>
              <w:t>达不到Ⅱ类水质要求</w:t>
            </w:r>
            <w:r>
              <w:rPr>
                <w:rFonts w:hint="eastAsia"/>
                <w:szCs w:val="24"/>
              </w:rPr>
              <w:t>；罗时江、永安江入湖口的监测结果均超过水</w:t>
            </w:r>
            <w:r>
              <w:rPr>
                <w:szCs w:val="24"/>
              </w:rPr>
              <w:t>功能要求的Ⅱ类</w:t>
            </w:r>
            <w:r>
              <w:rPr>
                <w:rFonts w:hint="eastAsia"/>
                <w:szCs w:val="24"/>
              </w:rPr>
              <w:t>，主要超标因子主要为总氮</w:t>
            </w:r>
            <w:r>
              <w:rPr>
                <w:rFonts w:hint="eastAsia"/>
                <w:szCs w:val="24"/>
                <w:shd w:val="clear" w:color="auto" w:fill="FEFEFE"/>
              </w:rPr>
              <w:t>、</w:t>
            </w:r>
            <w:r>
              <w:rPr>
                <w:szCs w:val="24"/>
                <w:shd w:val="clear" w:color="auto" w:fill="FEFEFE"/>
              </w:rPr>
              <w:t>总磷、化学需氧量、</w:t>
            </w:r>
            <w:r>
              <w:rPr>
                <w:rFonts w:hint="eastAsia"/>
                <w:szCs w:val="24"/>
                <w:shd w:val="clear" w:color="auto" w:fill="FEFEFE"/>
              </w:rPr>
              <w:t>氨氮、溶解氧，</w:t>
            </w:r>
            <w:r>
              <w:rPr>
                <w:bCs/>
                <w:szCs w:val="24"/>
              </w:rPr>
              <w:t>分析超标原因主要是受流域内农村面源和村落生活污水影响。</w:t>
            </w:r>
            <w:r>
              <w:rPr>
                <w:rFonts w:hint="eastAsia"/>
                <w:bCs/>
                <w:szCs w:val="24"/>
              </w:rPr>
              <w:t>具体监测情况见下表：</w:t>
            </w:r>
          </w:p>
          <w:p>
            <w:pPr>
              <w:adjustRightInd w:val="0"/>
              <w:snapToGrid w:val="0"/>
              <w:spacing w:line="360" w:lineRule="auto"/>
              <w:jc w:val="center"/>
              <w:rPr>
                <w:b/>
                <w:color w:val="FF0000"/>
                <w:sz w:val="21"/>
                <w:szCs w:val="18"/>
              </w:rPr>
            </w:pPr>
            <w:r>
              <w:rPr>
                <w:b/>
                <w:color w:val="FF0000"/>
                <w:sz w:val="21"/>
                <w:szCs w:val="18"/>
              </w:rPr>
              <w:t xml:space="preserve">表3-1  </w:t>
            </w:r>
            <w:r>
              <w:rPr>
                <w:rFonts w:hint="eastAsia"/>
                <w:b/>
                <w:color w:val="FF0000"/>
                <w:sz w:val="21"/>
                <w:szCs w:val="18"/>
              </w:rPr>
              <w:t>2019年</w:t>
            </w:r>
            <w:r>
              <w:rPr>
                <w:b/>
                <w:color w:val="FF0000"/>
                <w:sz w:val="21"/>
                <w:szCs w:val="18"/>
              </w:rPr>
              <w:t>洱海</w:t>
            </w:r>
            <w:r>
              <w:rPr>
                <w:rFonts w:hint="eastAsia"/>
                <w:b/>
                <w:color w:val="FF0000"/>
                <w:sz w:val="21"/>
                <w:szCs w:val="18"/>
              </w:rPr>
              <w:t>及主要入湖河流</w:t>
            </w:r>
            <w:r>
              <w:rPr>
                <w:b/>
                <w:color w:val="FF0000"/>
                <w:sz w:val="21"/>
                <w:szCs w:val="18"/>
              </w:rPr>
              <w:t>水质状况表</w:t>
            </w:r>
          </w:p>
          <w:tbl>
            <w:tblPr>
              <w:tblStyle w:val="3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532"/>
              <w:gridCol w:w="603"/>
              <w:gridCol w:w="1582"/>
              <w:gridCol w:w="663"/>
              <w:gridCol w:w="2406"/>
              <w:gridCol w:w="659"/>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Merge w:val="restart"/>
                  <w:vAlign w:val="center"/>
                </w:tcPr>
                <w:p>
                  <w:pPr>
                    <w:pStyle w:val="84"/>
                    <w:adjustRightInd w:val="0"/>
                    <w:snapToGrid w:val="0"/>
                    <w:rPr>
                      <w:b/>
                      <w:bCs/>
                      <w:color w:val="FF0000"/>
                      <w:sz w:val="21"/>
                      <w:szCs w:val="21"/>
                    </w:rPr>
                  </w:pPr>
                  <w:r>
                    <w:rPr>
                      <w:rFonts w:hint="eastAsia"/>
                      <w:b/>
                      <w:bCs/>
                      <w:color w:val="FF0000"/>
                      <w:sz w:val="21"/>
                      <w:szCs w:val="21"/>
                    </w:rPr>
                    <w:t>月份</w:t>
                  </w:r>
                </w:p>
              </w:tc>
              <w:tc>
                <w:tcPr>
                  <w:tcW w:w="2185" w:type="dxa"/>
                  <w:gridSpan w:val="2"/>
                  <w:vAlign w:val="center"/>
                </w:tcPr>
                <w:p>
                  <w:pPr>
                    <w:pStyle w:val="84"/>
                    <w:adjustRightInd w:val="0"/>
                    <w:snapToGrid w:val="0"/>
                    <w:rPr>
                      <w:b/>
                      <w:bCs/>
                      <w:color w:val="FF0000"/>
                      <w:sz w:val="21"/>
                      <w:szCs w:val="21"/>
                    </w:rPr>
                  </w:pPr>
                  <w:r>
                    <w:rPr>
                      <w:rFonts w:hint="eastAsia"/>
                      <w:b/>
                      <w:bCs/>
                      <w:color w:val="FF0000"/>
                      <w:sz w:val="21"/>
                      <w:szCs w:val="21"/>
                    </w:rPr>
                    <w:t>弥苴河</w:t>
                  </w:r>
                </w:p>
              </w:tc>
              <w:tc>
                <w:tcPr>
                  <w:tcW w:w="3069" w:type="dxa"/>
                  <w:gridSpan w:val="2"/>
                  <w:vAlign w:val="center"/>
                </w:tcPr>
                <w:p>
                  <w:pPr>
                    <w:pStyle w:val="84"/>
                    <w:adjustRightInd w:val="0"/>
                    <w:snapToGrid w:val="0"/>
                    <w:rPr>
                      <w:b/>
                      <w:bCs/>
                      <w:color w:val="FF0000"/>
                      <w:sz w:val="21"/>
                      <w:szCs w:val="21"/>
                    </w:rPr>
                  </w:pPr>
                  <w:r>
                    <w:rPr>
                      <w:rFonts w:hint="eastAsia"/>
                      <w:b/>
                      <w:bCs/>
                      <w:color w:val="FF0000"/>
                      <w:sz w:val="21"/>
                      <w:szCs w:val="21"/>
                    </w:rPr>
                    <w:t>罗时江</w:t>
                  </w:r>
                </w:p>
              </w:tc>
              <w:tc>
                <w:tcPr>
                  <w:tcW w:w="3049" w:type="dxa"/>
                  <w:gridSpan w:val="2"/>
                  <w:vAlign w:val="center"/>
                </w:tcPr>
                <w:p>
                  <w:pPr>
                    <w:pStyle w:val="84"/>
                    <w:adjustRightInd w:val="0"/>
                    <w:snapToGrid w:val="0"/>
                    <w:rPr>
                      <w:b/>
                      <w:bCs/>
                      <w:color w:val="FF0000"/>
                      <w:sz w:val="21"/>
                      <w:szCs w:val="21"/>
                    </w:rPr>
                  </w:pPr>
                  <w:r>
                    <w:rPr>
                      <w:rFonts w:hint="eastAsia"/>
                      <w:b/>
                      <w:bCs/>
                      <w:color w:val="FF0000"/>
                      <w:sz w:val="21"/>
                      <w:szCs w:val="21"/>
                    </w:rPr>
                    <w:t>永安江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Merge w:val="continue"/>
                  <w:vAlign w:val="center"/>
                </w:tcPr>
                <w:p>
                  <w:pPr>
                    <w:pStyle w:val="84"/>
                    <w:adjustRightInd w:val="0"/>
                    <w:snapToGrid w:val="0"/>
                    <w:rPr>
                      <w:b/>
                      <w:bCs/>
                      <w:color w:val="FF0000"/>
                      <w:sz w:val="21"/>
                      <w:szCs w:val="21"/>
                    </w:rPr>
                  </w:pPr>
                </w:p>
              </w:tc>
              <w:tc>
                <w:tcPr>
                  <w:tcW w:w="603" w:type="dxa"/>
                  <w:vAlign w:val="center"/>
                </w:tcPr>
                <w:p>
                  <w:pPr>
                    <w:pStyle w:val="84"/>
                    <w:adjustRightInd w:val="0"/>
                    <w:snapToGrid w:val="0"/>
                    <w:rPr>
                      <w:b/>
                      <w:bCs/>
                      <w:color w:val="FF0000"/>
                      <w:sz w:val="21"/>
                      <w:szCs w:val="21"/>
                    </w:rPr>
                  </w:pPr>
                  <w:r>
                    <w:rPr>
                      <w:rFonts w:hint="eastAsia"/>
                      <w:b/>
                      <w:bCs/>
                      <w:color w:val="FF0000"/>
                      <w:sz w:val="21"/>
                      <w:szCs w:val="21"/>
                    </w:rPr>
                    <w:t>类别</w:t>
                  </w:r>
                </w:p>
              </w:tc>
              <w:tc>
                <w:tcPr>
                  <w:tcW w:w="1582" w:type="dxa"/>
                  <w:vAlign w:val="center"/>
                </w:tcPr>
                <w:p>
                  <w:pPr>
                    <w:pStyle w:val="84"/>
                    <w:adjustRightInd w:val="0"/>
                    <w:snapToGrid w:val="0"/>
                    <w:rPr>
                      <w:b/>
                      <w:bCs/>
                      <w:color w:val="FF0000"/>
                      <w:sz w:val="21"/>
                      <w:szCs w:val="21"/>
                    </w:rPr>
                  </w:pPr>
                  <w:r>
                    <w:rPr>
                      <w:b/>
                      <w:bCs/>
                      <w:color w:val="FF0000"/>
                      <w:sz w:val="21"/>
                      <w:szCs w:val="21"/>
                    </w:rPr>
                    <w:t>主要超标项</w:t>
                  </w:r>
                </w:p>
              </w:tc>
              <w:tc>
                <w:tcPr>
                  <w:tcW w:w="663" w:type="dxa"/>
                  <w:vAlign w:val="center"/>
                </w:tcPr>
                <w:p>
                  <w:pPr>
                    <w:pStyle w:val="84"/>
                    <w:adjustRightInd w:val="0"/>
                    <w:snapToGrid w:val="0"/>
                    <w:rPr>
                      <w:b/>
                      <w:bCs/>
                      <w:color w:val="FF0000"/>
                      <w:sz w:val="21"/>
                      <w:szCs w:val="21"/>
                    </w:rPr>
                  </w:pPr>
                  <w:r>
                    <w:rPr>
                      <w:rFonts w:hint="eastAsia"/>
                      <w:b/>
                      <w:bCs/>
                      <w:color w:val="FF0000"/>
                      <w:sz w:val="21"/>
                      <w:szCs w:val="21"/>
                    </w:rPr>
                    <w:t>类别</w:t>
                  </w:r>
                </w:p>
              </w:tc>
              <w:tc>
                <w:tcPr>
                  <w:tcW w:w="2406" w:type="dxa"/>
                  <w:vAlign w:val="center"/>
                </w:tcPr>
                <w:p>
                  <w:pPr>
                    <w:pStyle w:val="84"/>
                    <w:adjustRightInd w:val="0"/>
                    <w:snapToGrid w:val="0"/>
                    <w:rPr>
                      <w:b/>
                      <w:bCs/>
                      <w:color w:val="FF0000"/>
                      <w:sz w:val="21"/>
                      <w:szCs w:val="21"/>
                    </w:rPr>
                  </w:pPr>
                  <w:r>
                    <w:rPr>
                      <w:b/>
                      <w:bCs/>
                      <w:color w:val="FF0000"/>
                      <w:sz w:val="21"/>
                      <w:szCs w:val="21"/>
                    </w:rPr>
                    <w:t>主要超标项</w:t>
                  </w:r>
                </w:p>
              </w:tc>
              <w:tc>
                <w:tcPr>
                  <w:tcW w:w="659" w:type="dxa"/>
                  <w:vAlign w:val="center"/>
                </w:tcPr>
                <w:p>
                  <w:pPr>
                    <w:pStyle w:val="84"/>
                    <w:adjustRightInd w:val="0"/>
                    <w:snapToGrid w:val="0"/>
                    <w:rPr>
                      <w:b/>
                      <w:bCs/>
                      <w:color w:val="FF0000"/>
                      <w:sz w:val="21"/>
                      <w:szCs w:val="21"/>
                    </w:rPr>
                  </w:pPr>
                  <w:r>
                    <w:rPr>
                      <w:rFonts w:hint="eastAsia"/>
                      <w:b/>
                      <w:bCs/>
                      <w:color w:val="FF0000"/>
                      <w:sz w:val="21"/>
                      <w:szCs w:val="21"/>
                    </w:rPr>
                    <w:t>类别</w:t>
                  </w:r>
                </w:p>
              </w:tc>
              <w:tc>
                <w:tcPr>
                  <w:tcW w:w="2390" w:type="dxa"/>
                  <w:vAlign w:val="center"/>
                </w:tcPr>
                <w:p>
                  <w:pPr>
                    <w:pStyle w:val="84"/>
                    <w:adjustRightInd w:val="0"/>
                    <w:snapToGrid w:val="0"/>
                    <w:rPr>
                      <w:b/>
                      <w:bCs/>
                      <w:color w:val="FF0000"/>
                      <w:sz w:val="21"/>
                      <w:szCs w:val="21"/>
                    </w:rPr>
                  </w:pPr>
                  <w:r>
                    <w:rPr>
                      <w:b/>
                      <w:bCs/>
                      <w:color w:val="FF0000"/>
                      <w:sz w:val="21"/>
                      <w:szCs w:val="21"/>
                    </w:rPr>
                    <w:t>主要超标项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1</w:t>
                  </w:r>
                </w:p>
              </w:tc>
              <w:tc>
                <w:tcPr>
                  <w:tcW w:w="603" w:type="dxa"/>
                  <w:vAlign w:val="center"/>
                </w:tcPr>
                <w:p>
                  <w:pPr>
                    <w:pStyle w:val="84"/>
                    <w:adjustRightInd w:val="0"/>
                    <w:snapToGrid w:val="0"/>
                    <w:rPr>
                      <w:sz w:val="21"/>
                      <w:szCs w:val="21"/>
                    </w:rPr>
                  </w:pPr>
                  <w:r>
                    <w:rPr>
                      <w:rFonts w:hint="eastAsia"/>
                      <w:sz w:val="21"/>
                      <w:szCs w:val="21"/>
                    </w:rPr>
                    <w:t>Ⅳ</w:t>
                  </w:r>
                </w:p>
              </w:tc>
              <w:tc>
                <w:tcPr>
                  <w:tcW w:w="1582"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rPr>
                  </w:pPr>
                  <w:r>
                    <w:rPr>
                      <w:sz w:val="21"/>
                      <w:szCs w:val="21"/>
                    </w:rPr>
                    <w:t>Ⅲ</w:t>
                  </w:r>
                </w:p>
              </w:tc>
              <w:tc>
                <w:tcPr>
                  <w:tcW w:w="2406"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59" w:type="dxa"/>
                  <w:vAlign w:val="center"/>
                </w:tcPr>
                <w:p>
                  <w:pPr>
                    <w:pStyle w:val="84"/>
                    <w:adjustRightInd w:val="0"/>
                    <w:snapToGrid w:val="0"/>
                    <w:rPr>
                      <w:sz w:val="21"/>
                      <w:szCs w:val="21"/>
                    </w:rPr>
                  </w:pPr>
                  <w:r>
                    <w:rPr>
                      <w:sz w:val="21"/>
                      <w:szCs w:val="21"/>
                    </w:rPr>
                    <w:t>Ⅲ</w:t>
                  </w:r>
                </w:p>
              </w:tc>
              <w:tc>
                <w:tcPr>
                  <w:tcW w:w="2390" w:type="dxa"/>
                  <w:vAlign w:val="center"/>
                </w:tcPr>
                <w:p>
                  <w:pPr>
                    <w:pStyle w:val="84"/>
                    <w:adjustRightInd w:val="0"/>
                    <w:snapToGrid w:val="0"/>
                    <w:rPr>
                      <w:sz w:val="21"/>
                      <w:szCs w:val="21"/>
                    </w:rPr>
                  </w:pPr>
                  <w:r>
                    <w:rPr>
                      <w:rFonts w:hint="eastAsia"/>
                      <w:sz w:val="21"/>
                      <w:szCs w:val="21"/>
                      <w:shd w:val="clear" w:color="auto" w:fill="FEFEFE"/>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532" w:type="dxa"/>
                  <w:vAlign w:val="center"/>
                </w:tcPr>
                <w:p>
                  <w:pPr>
                    <w:pStyle w:val="84"/>
                    <w:adjustRightInd w:val="0"/>
                    <w:snapToGrid w:val="0"/>
                    <w:rPr>
                      <w:sz w:val="21"/>
                      <w:szCs w:val="21"/>
                    </w:rPr>
                  </w:pPr>
                  <w:r>
                    <w:rPr>
                      <w:rFonts w:hint="eastAsia"/>
                      <w:sz w:val="21"/>
                      <w:szCs w:val="21"/>
                    </w:rPr>
                    <w:t>2</w:t>
                  </w:r>
                </w:p>
              </w:tc>
              <w:tc>
                <w:tcPr>
                  <w:tcW w:w="603" w:type="dxa"/>
                  <w:vAlign w:val="center"/>
                </w:tcPr>
                <w:p>
                  <w:pPr>
                    <w:pStyle w:val="84"/>
                    <w:adjustRightInd w:val="0"/>
                    <w:snapToGrid w:val="0"/>
                    <w:rPr>
                      <w:sz w:val="21"/>
                      <w:szCs w:val="21"/>
                    </w:rPr>
                  </w:pPr>
                  <w:r>
                    <w:rPr>
                      <w:sz w:val="21"/>
                      <w:szCs w:val="21"/>
                    </w:rPr>
                    <w:t>Ⅲ</w:t>
                  </w:r>
                </w:p>
              </w:tc>
              <w:tc>
                <w:tcPr>
                  <w:tcW w:w="1582"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rPr>
                  </w:pPr>
                  <w:r>
                    <w:rPr>
                      <w:rFonts w:hint="eastAsia"/>
                      <w:sz w:val="21"/>
                      <w:szCs w:val="21"/>
                    </w:rPr>
                    <w:t>Ⅳ</w:t>
                  </w:r>
                </w:p>
              </w:tc>
              <w:tc>
                <w:tcPr>
                  <w:tcW w:w="2406"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59" w:type="dxa"/>
                  <w:vAlign w:val="center"/>
                </w:tcPr>
                <w:p>
                  <w:pPr>
                    <w:pStyle w:val="84"/>
                    <w:adjustRightInd w:val="0"/>
                    <w:snapToGrid w:val="0"/>
                    <w:rPr>
                      <w:sz w:val="21"/>
                      <w:szCs w:val="21"/>
                    </w:rPr>
                  </w:pPr>
                  <w:r>
                    <w:rPr>
                      <w:rFonts w:hint="eastAsia"/>
                      <w:sz w:val="21"/>
                      <w:szCs w:val="21"/>
                    </w:rPr>
                    <w:t>Ⅳ</w:t>
                  </w:r>
                </w:p>
              </w:tc>
              <w:tc>
                <w:tcPr>
                  <w:tcW w:w="2390"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3</w:t>
                  </w:r>
                </w:p>
              </w:tc>
              <w:tc>
                <w:tcPr>
                  <w:tcW w:w="603" w:type="dxa"/>
                  <w:vAlign w:val="center"/>
                </w:tcPr>
                <w:p>
                  <w:pPr>
                    <w:pStyle w:val="84"/>
                    <w:adjustRightInd w:val="0"/>
                    <w:snapToGrid w:val="0"/>
                    <w:rPr>
                      <w:sz w:val="21"/>
                      <w:szCs w:val="21"/>
                      <w:shd w:val="clear" w:color="auto" w:fill="FEFEFE"/>
                    </w:rPr>
                  </w:pPr>
                  <w:r>
                    <w:rPr>
                      <w:rFonts w:hint="eastAsia"/>
                      <w:sz w:val="21"/>
                      <w:szCs w:val="21"/>
                    </w:rPr>
                    <w:t>Ⅳ</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shd w:val="clear" w:color="auto" w:fill="FEFEFE"/>
                    </w:rPr>
                  </w:pPr>
                  <w:r>
                    <w:rPr>
                      <w:rFonts w:hint="eastAsia"/>
                      <w:sz w:val="21"/>
                      <w:szCs w:val="21"/>
                    </w:rPr>
                    <w:t>Ⅳ</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化学需氧量、总磷、</w:t>
                  </w:r>
                  <w:r>
                    <w:rPr>
                      <w:rFonts w:hint="eastAsia"/>
                      <w:sz w:val="21"/>
                      <w:szCs w:val="21"/>
                      <w:shd w:val="clear" w:color="auto" w:fill="FEFEFE"/>
                    </w:rPr>
                    <w:t>总氮、石油类</w:t>
                  </w:r>
                </w:p>
              </w:tc>
              <w:tc>
                <w:tcPr>
                  <w:tcW w:w="659" w:type="dxa"/>
                  <w:vAlign w:val="center"/>
                </w:tcPr>
                <w:p>
                  <w:pPr>
                    <w:pStyle w:val="84"/>
                    <w:adjustRightInd w:val="0"/>
                    <w:snapToGrid w:val="0"/>
                    <w:rPr>
                      <w:sz w:val="21"/>
                      <w:szCs w:val="21"/>
                      <w:shd w:val="clear" w:color="auto" w:fill="FEFEFE"/>
                    </w:rPr>
                  </w:pPr>
                  <w:r>
                    <w:rPr>
                      <w:sz w:val="21"/>
                      <w:szCs w:val="21"/>
                    </w:rPr>
                    <w:t>—</w:t>
                  </w:r>
                </w:p>
              </w:tc>
              <w:tc>
                <w:tcPr>
                  <w:tcW w:w="2390" w:type="dxa"/>
                  <w:vAlign w:val="center"/>
                </w:tcPr>
                <w:p>
                  <w:pPr>
                    <w:pStyle w:val="84"/>
                    <w:adjustRightInd w:val="0"/>
                    <w:snapToGrid w:val="0"/>
                    <w:rPr>
                      <w:sz w:val="21"/>
                      <w:szCs w:val="21"/>
                      <w:shd w:val="clear" w:color="auto" w:fill="FEFEFE"/>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4</w:t>
                  </w:r>
                </w:p>
              </w:tc>
              <w:tc>
                <w:tcPr>
                  <w:tcW w:w="603" w:type="dxa"/>
                  <w:vAlign w:val="center"/>
                </w:tcPr>
                <w:p>
                  <w:pPr>
                    <w:pStyle w:val="84"/>
                    <w:adjustRightInd w:val="0"/>
                    <w:snapToGrid w:val="0"/>
                    <w:rPr>
                      <w:sz w:val="21"/>
                      <w:szCs w:val="21"/>
                      <w:shd w:val="clear" w:color="auto" w:fill="FEFEFE"/>
                    </w:rPr>
                  </w:pPr>
                  <w:r>
                    <w:rPr>
                      <w:rFonts w:hint="eastAsia"/>
                      <w:sz w:val="21"/>
                      <w:szCs w:val="21"/>
                    </w:rPr>
                    <w:t>Ⅳ</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shd w:val="clear" w:color="auto" w:fill="FEFEFE"/>
                    </w:rPr>
                  </w:pPr>
                  <w:r>
                    <w:rPr>
                      <w:rFonts w:hint="eastAsia"/>
                      <w:sz w:val="21"/>
                      <w:szCs w:val="21"/>
                    </w:rPr>
                    <w:t>Ⅳ</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化学需氧量、总磷、</w:t>
                  </w:r>
                  <w:r>
                    <w:rPr>
                      <w:rFonts w:hint="eastAsia"/>
                      <w:sz w:val="21"/>
                      <w:szCs w:val="21"/>
                      <w:shd w:val="clear" w:color="auto" w:fill="FEFEFE"/>
                    </w:rPr>
                    <w:t>总氮</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r>
                    <w:rPr>
                      <w:sz w:val="21"/>
                      <w:szCs w:val="21"/>
                      <w:shd w:val="clear" w:color="auto" w:fill="FEFEFE"/>
                    </w:rPr>
                    <w:t>总磷、</w:t>
                  </w:r>
                  <w:r>
                    <w:rPr>
                      <w:rFonts w:hint="eastAsia"/>
                      <w:sz w:val="21"/>
                      <w:szCs w:val="21"/>
                      <w:shd w:val="clear" w:color="auto" w:fill="FEFEFE"/>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5</w:t>
                  </w:r>
                </w:p>
              </w:tc>
              <w:tc>
                <w:tcPr>
                  <w:tcW w:w="603" w:type="dxa"/>
                  <w:vAlign w:val="center"/>
                </w:tcPr>
                <w:p>
                  <w:pPr>
                    <w:pStyle w:val="84"/>
                    <w:adjustRightInd w:val="0"/>
                    <w:snapToGrid w:val="0"/>
                    <w:rPr>
                      <w:sz w:val="21"/>
                      <w:szCs w:val="21"/>
                      <w:shd w:val="clear" w:color="auto" w:fill="FEFEFE"/>
                    </w:rPr>
                  </w:pPr>
                  <w:r>
                    <w:rPr>
                      <w:sz w:val="21"/>
                      <w:szCs w:val="21"/>
                    </w:rPr>
                    <w:t>—</w:t>
                  </w:r>
                </w:p>
              </w:tc>
              <w:tc>
                <w:tcPr>
                  <w:tcW w:w="1582" w:type="dxa"/>
                  <w:vAlign w:val="center"/>
                </w:tcPr>
                <w:p>
                  <w:pPr>
                    <w:pStyle w:val="84"/>
                    <w:adjustRightInd w:val="0"/>
                    <w:snapToGrid w:val="0"/>
                    <w:rPr>
                      <w:sz w:val="21"/>
                      <w:szCs w:val="21"/>
                      <w:shd w:val="clear" w:color="auto" w:fill="FEFEFE"/>
                    </w:rPr>
                  </w:pPr>
                  <w:r>
                    <w:rPr>
                      <w:sz w:val="21"/>
                      <w:szCs w:val="21"/>
                    </w:rPr>
                    <w:t>—</w:t>
                  </w:r>
                </w:p>
              </w:tc>
              <w:tc>
                <w:tcPr>
                  <w:tcW w:w="663" w:type="dxa"/>
                  <w:vAlign w:val="center"/>
                </w:tcPr>
                <w:p>
                  <w:pPr>
                    <w:pStyle w:val="84"/>
                    <w:adjustRightInd w:val="0"/>
                    <w:snapToGrid w:val="0"/>
                    <w:rPr>
                      <w:sz w:val="21"/>
                      <w:szCs w:val="21"/>
                      <w:shd w:val="clear" w:color="auto" w:fill="FEFEFE"/>
                    </w:rPr>
                  </w:pPr>
                  <w:r>
                    <w:rPr>
                      <w:sz w:val="21"/>
                      <w:szCs w:val="21"/>
                    </w:rPr>
                    <w:t>—</w:t>
                  </w:r>
                </w:p>
              </w:tc>
              <w:tc>
                <w:tcPr>
                  <w:tcW w:w="2406" w:type="dxa"/>
                  <w:vAlign w:val="center"/>
                </w:tcPr>
                <w:p>
                  <w:pPr>
                    <w:pStyle w:val="84"/>
                    <w:adjustRightInd w:val="0"/>
                    <w:snapToGrid w:val="0"/>
                    <w:rPr>
                      <w:sz w:val="21"/>
                      <w:szCs w:val="21"/>
                      <w:shd w:val="clear" w:color="auto" w:fill="FEFEFE"/>
                    </w:rPr>
                  </w:pPr>
                  <w:r>
                    <w:rPr>
                      <w:sz w:val="21"/>
                      <w:szCs w:val="21"/>
                    </w:rPr>
                    <w:t>—</w:t>
                  </w:r>
                </w:p>
              </w:tc>
              <w:tc>
                <w:tcPr>
                  <w:tcW w:w="659"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总磷、</w:t>
                  </w:r>
                  <w:r>
                    <w:rPr>
                      <w:rFonts w:hint="eastAsia"/>
                      <w:sz w:val="21"/>
                      <w:szCs w:val="21"/>
                      <w:shd w:val="clear" w:color="auto" w:fill="FEFEFE"/>
                    </w:rPr>
                    <w:t>总氮</w:t>
                  </w:r>
                  <w:r>
                    <w:rPr>
                      <w:sz w:val="21"/>
                      <w:szCs w:val="21"/>
                      <w:shd w:val="clear" w:color="auto" w:fill="FEFEFE"/>
                    </w:rPr>
                    <w:t>、</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532" w:type="dxa"/>
                  <w:vAlign w:val="center"/>
                </w:tcPr>
                <w:p>
                  <w:pPr>
                    <w:pStyle w:val="84"/>
                    <w:adjustRightInd w:val="0"/>
                    <w:snapToGrid w:val="0"/>
                    <w:rPr>
                      <w:sz w:val="21"/>
                      <w:szCs w:val="21"/>
                    </w:rPr>
                  </w:pPr>
                  <w:r>
                    <w:rPr>
                      <w:rFonts w:hint="eastAsia"/>
                      <w:sz w:val="21"/>
                      <w:szCs w:val="21"/>
                    </w:rPr>
                    <w:t>6</w:t>
                  </w:r>
                </w:p>
              </w:tc>
              <w:tc>
                <w:tcPr>
                  <w:tcW w:w="603" w:type="dxa"/>
                  <w:vAlign w:val="center"/>
                </w:tcPr>
                <w:p>
                  <w:pPr>
                    <w:pStyle w:val="84"/>
                    <w:adjustRightInd w:val="0"/>
                    <w:snapToGrid w:val="0"/>
                    <w:rPr>
                      <w:sz w:val="21"/>
                      <w:szCs w:val="21"/>
                      <w:shd w:val="clear" w:color="auto" w:fill="FEFEFE"/>
                    </w:rPr>
                  </w:pPr>
                  <w:r>
                    <w:rPr>
                      <w:sz w:val="21"/>
                      <w:szCs w:val="21"/>
                    </w:rPr>
                    <w:t>Ⅲ</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化学需氧量</w:t>
                  </w:r>
                </w:p>
              </w:tc>
              <w:tc>
                <w:tcPr>
                  <w:tcW w:w="663" w:type="dxa"/>
                  <w:vAlign w:val="center"/>
                </w:tcPr>
                <w:p>
                  <w:pPr>
                    <w:pStyle w:val="84"/>
                    <w:adjustRightInd w:val="0"/>
                    <w:snapToGrid w:val="0"/>
                    <w:rPr>
                      <w:sz w:val="21"/>
                      <w:szCs w:val="21"/>
                      <w:shd w:val="clear" w:color="auto" w:fill="FEFEFE"/>
                    </w:rPr>
                  </w:pPr>
                  <w:r>
                    <w:rPr>
                      <w:sz w:val="21"/>
                      <w:szCs w:val="21"/>
                    </w:rPr>
                    <w:t>—</w:t>
                  </w:r>
                </w:p>
              </w:tc>
              <w:tc>
                <w:tcPr>
                  <w:tcW w:w="2406" w:type="dxa"/>
                  <w:vAlign w:val="center"/>
                </w:tcPr>
                <w:p>
                  <w:pPr>
                    <w:pStyle w:val="84"/>
                    <w:adjustRightInd w:val="0"/>
                    <w:snapToGrid w:val="0"/>
                    <w:rPr>
                      <w:sz w:val="21"/>
                      <w:szCs w:val="21"/>
                      <w:shd w:val="clear" w:color="auto" w:fill="FEFEFE"/>
                    </w:rPr>
                  </w:pPr>
                  <w:r>
                    <w:rPr>
                      <w:sz w:val="21"/>
                      <w:szCs w:val="21"/>
                    </w:rPr>
                    <w:t>—</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7</w:t>
                  </w:r>
                </w:p>
              </w:tc>
              <w:tc>
                <w:tcPr>
                  <w:tcW w:w="603" w:type="dxa"/>
                  <w:vAlign w:val="center"/>
                </w:tcPr>
                <w:p>
                  <w:pPr>
                    <w:pStyle w:val="84"/>
                    <w:adjustRightInd w:val="0"/>
                    <w:snapToGrid w:val="0"/>
                    <w:rPr>
                      <w:sz w:val="21"/>
                      <w:szCs w:val="21"/>
                      <w:shd w:val="clear" w:color="auto" w:fill="FEFEFE"/>
                    </w:rPr>
                  </w:pPr>
                  <w:r>
                    <w:rPr>
                      <w:sz w:val="21"/>
                      <w:szCs w:val="21"/>
                    </w:rPr>
                    <w:t>—</w:t>
                  </w:r>
                </w:p>
              </w:tc>
              <w:tc>
                <w:tcPr>
                  <w:tcW w:w="1582" w:type="dxa"/>
                  <w:vAlign w:val="center"/>
                </w:tcPr>
                <w:p>
                  <w:pPr>
                    <w:pStyle w:val="84"/>
                    <w:adjustRightInd w:val="0"/>
                    <w:snapToGrid w:val="0"/>
                    <w:rPr>
                      <w:sz w:val="21"/>
                      <w:szCs w:val="21"/>
                      <w:shd w:val="clear" w:color="auto" w:fill="FEFEFE"/>
                    </w:rPr>
                  </w:pPr>
                  <w:r>
                    <w:rPr>
                      <w:sz w:val="21"/>
                      <w:szCs w:val="21"/>
                    </w:rPr>
                    <w:t>—</w:t>
                  </w:r>
                </w:p>
              </w:tc>
              <w:tc>
                <w:tcPr>
                  <w:tcW w:w="66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溶解氧、氨氮</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8</w:t>
                  </w:r>
                </w:p>
              </w:tc>
              <w:tc>
                <w:tcPr>
                  <w:tcW w:w="60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总磷</w:t>
                  </w:r>
                </w:p>
              </w:tc>
              <w:tc>
                <w:tcPr>
                  <w:tcW w:w="66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溶解氧、总磷</w:t>
                  </w:r>
                </w:p>
              </w:tc>
              <w:tc>
                <w:tcPr>
                  <w:tcW w:w="659" w:type="dxa"/>
                  <w:vAlign w:val="center"/>
                </w:tcPr>
                <w:p>
                  <w:pPr>
                    <w:pStyle w:val="84"/>
                    <w:adjustRightInd w:val="0"/>
                    <w:snapToGrid w:val="0"/>
                    <w:rPr>
                      <w:sz w:val="21"/>
                      <w:szCs w:val="21"/>
                      <w:shd w:val="clear" w:color="auto" w:fill="FEFEFE"/>
                    </w:rPr>
                  </w:pPr>
                  <w:r>
                    <w:rPr>
                      <w:sz w:val="21"/>
                      <w:szCs w:val="21"/>
                    </w:rPr>
                    <w:t>Ⅲ</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9</w:t>
                  </w:r>
                </w:p>
              </w:tc>
              <w:tc>
                <w:tcPr>
                  <w:tcW w:w="603" w:type="dxa"/>
                  <w:vAlign w:val="center"/>
                </w:tcPr>
                <w:p>
                  <w:pPr>
                    <w:pStyle w:val="84"/>
                    <w:adjustRightInd w:val="0"/>
                    <w:snapToGrid w:val="0"/>
                    <w:rPr>
                      <w:sz w:val="21"/>
                      <w:szCs w:val="21"/>
                      <w:shd w:val="clear" w:color="auto" w:fill="FEFEFE"/>
                    </w:rPr>
                  </w:pPr>
                  <w:r>
                    <w:rPr>
                      <w:sz w:val="21"/>
                      <w:szCs w:val="21"/>
                    </w:rPr>
                    <w:t>Ⅱ</w:t>
                  </w:r>
                </w:p>
              </w:tc>
              <w:tc>
                <w:tcPr>
                  <w:tcW w:w="1582" w:type="dxa"/>
                  <w:vAlign w:val="center"/>
                </w:tcPr>
                <w:p>
                  <w:pPr>
                    <w:pStyle w:val="84"/>
                    <w:adjustRightInd w:val="0"/>
                    <w:snapToGrid w:val="0"/>
                    <w:rPr>
                      <w:sz w:val="21"/>
                      <w:szCs w:val="21"/>
                      <w:shd w:val="clear" w:color="auto" w:fill="FEFEFE"/>
                    </w:rPr>
                  </w:pPr>
                  <w:r>
                    <w:rPr>
                      <w:rFonts w:hint="eastAsia"/>
                      <w:sz w:val="21"/>
                      <w:szCs w:val="21"/>
                    </w:rPr>
                    <w:t>达标</w:t>
                  </w:r>
                </w:p>
              </w:tc>
              <w:tc>
                <w:tcPr>
                  <w:tcW w:w="66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c>
                <w:tcPr>
                  <w:tcW w:w="659"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532" w:type="dxa"/>
                  <w:vAlign w:val="center"/>
                </w:tcPr>
                <w:p>
                  <w:pPr>
                    <w:pStyle w:val="84"/>
                    <w:adjustRightInd w:val="0"/>
                    <w:snapToGrid w:val="0"/>
                    <w:rPr>
                      <w:sz w:val="21"/>
                      <w:szCs w:val="21"/>
                    </w:rPr>
                  </w:pPr>
                  <w:r>
                    <w:rPr>
                      <w:rFonts w:hint="eastAsia"/>
                      <w:sz w:val="21"/>
                      <w:szCs w:val="21"/>
                    </w:rPr>
                    <w:t>10</w:t>
                  </w:r>
                </w:p>
              </w:tc>
              <w:tc>
                <w:tcPr>
                  <w:tcW w:w="603" w:type="dxa"/>
                  <w:vAlign w:val="center"/>
                </w:tcPr>
                <w:p>
                  <w:pPr>
                    <w:pStyle w:val="84"/>
                    <w:adjustRightInd w:val="0"/>
                    <w:snapToGrid w:val="0"/>
                    <w:rPr>
                      <w:sz w:val="21"/>
                      <w:szCs w:val="21"/>
                    </w:rPr>
                  </w:pPr>
                  <w:r>
                    <w:rPr>
                      <w:sz w:val="21"/>
                      <w:szCs w:val="21"/>
                    </w:rPr>
                    <w:t>Ⅱ</w:t>
                  </w:r>
                </w:p>
              </w:tc>
              <w:tc>
                <w:tcPr>
                  <w:tcW w:w="1582" w:type="dxa"/>
                  <w:vAlign w:val="center"/>
                </w:tcPr>
                <w:p>
                  <w:pPr>
                    <w:pStyle w:val="84"/>
                    <w:adjustRightInd w:val="0"/>
                    <w:snapToGrid w:val="0"/>
                    <w:rPr>
                      <w:sz w:val="21"/>
                      <w:szCs w:val="21"/>
                    </w:rPr>
                  </w:pPr>
                  <w:r>
                    <w:rPr>
                      <w:rFonts w:hint="eastAsia"/>
                      <w:sz w:val="21"/>
                      <w:szCs w:val="21"/>
                    </w:rPr>
                    <w:t>达标</w:t>
                  </w:r>
                </w:p>
              </w:tc>
              <w:tc>
                <w:tcPr>
                  <w:tcW w:w="663" w:type="dxa"/>
                  <w:vAlign w:val="center"/>
                </w:tcPr>
                <w:p>
                  <w:pPr>
                    <w:pStyle w:val="84"/>
                    <w:adjustRightInd w:val="0"/>
                    <w:snapToGrid w:val="0"/>
                    <w:rPr>
                      <w:sz w:val="21"/>
                      <w:szCs w:val="21"/>
                      <w:shd w:val="clear" w:color="auto" w:fill="FEFEFE"/>
                    </w:rPr>
                  </w:pPr>
                  <w:r>
                    <w:rPr>
                      <w:sz w:val="21"/>
                      <w:szCs w:val="21"/>
                    </w:rPr>
                    <w:t>Ⅲ</w:t>
                  </w:r>
                </w:p>
              </w:tc>
              <w:tc>
                <w:tcPr>
                  <w:tcW w:w="2406"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化学需氧量、高锰酸盐指数、五日生化需氧量</w:t>
                  </w:r>
                </w:p>
              </w:tc>
              <w:tc>
                <w:tcPr>
                  <w:tcW w:w="659"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化学需氧量、高锰酸盐指数、溶解氧、五日生化需氧量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11</w:t>
                  </w:r>
                </w:p>
              </w:tc>
              <w:tc>
                <w:tcPr>
                  <w:tcW w:w="603" w:type="dxa"/>
                  <w:vAlign w:val="center"/>
                </w:tcPr>
                <w:p>
                  <w:pPr>
                    <w:pStyle w:val="84"/>
                    <w:adjustRightInd w:val="0"/>
                    <w:snapToGrid w:val="0"/>
                    <w:rPr>
                      <w:sz w:val="21"/>
                      <w:szCs w:val="21"/>
                    </w:rPr>
                  </w:pPr>
                  <w:r>
                    <w:rPr>
                      <w:sz w:val="21"/>
                      <w:szCs w:val="21"/>
                    </w:rPr>
                    <w:t>Ⅲ</w:t>
                  </w:r>
                </w:p>
              </w:tc>
              <w:tc>
                <w:tcPr>
                  <w:tcW w:w="1582" w:type="dxa"/>
                  <w:vAlign w:val="center"/>
                </w:tcPr>
                <w:p>
                  <w:pPr>
                    <w:pStyle w:val="84"/>
                    <w:adjustRightInd w:val="0"/>
                    <w:snapToGrid w:val="0"/>
                    <w:rPr>
                      <w:sz w:val="21"/>
                      <w:szCs w:val="21"/>
                    </w:rPr>
                  </w:pPr>
                  <w:r>
                    <w:rPr>
                      <w:rFonts w:hint="eastAsia"/>
                      <w:sz w:val="21"/>
                      <w:szCs w:val="21"/>
                      <w:shd w:val="clear" w:color="auto" w:fill="FEFEFE"/>
                    </w:rPr>
                    <w:t>溶解氧</w:t>
                  </w:r>
                </w:p>
              </w:tc>
              <w:tc>
                <w:tcPr>
                  <w:tcW w:w="663" w:type="dxa"/>
                  <w:vAlign w:val="center"/>
                </w:tcPr>
                <w:p>
                  <w:pPr>
                    <w:pStyle w:val="84"/>
                    <w:adjustRightInd w:val="0"/>
                    <w:snapToGrid w:val="0"/>
                    <w:rPr>
                      <w:sz w:val="21"/>
                      <w:szCs w:val="21"/>
                      <w:shd w:val="clear" w:color="auto" w:fill="FEFEFE"/>
                    </w:rPr>
                  </w:pPr>
                  <w:r>
                    <w:rPr>
                      <w:rFonts w:hint="eastAsia"/>
                      <w:sz w:val="21"/>
                      <w:szCs w:val="21"/>
                    </w:rPr>
                    <w:t>Ⅳ</w:t>
                  </w:r>
                </w:p>
              </w:tc>
              <w:tc>
                <w:tcPr>
                  <w:tcW w:w="2406"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12</w:t>
                  </w:r>
                </w:p>
              </w:tc>
              <w:tc>
                <w:tcPr>
                  <w:tcW w:w="603" w:type="dxa"/>
                  <w:vAlign w:val="center"/>
                </w:tcPr>
                <w:p>
                  <w:pPr>
                    <w:pStyle w:val="84"/>
                    <w:adjustRightInd w:val="0"/>
                    <w:snapToGrid w:val="0"/>
                    <w:rPr>
                      <w:sz w:val="21"/>
                      <w:szCs w:val="21"/>
                    </w:rPr>
                  </w:pPr>
                  <w:r>
                    <w:rPr>
                      <w:sz w:val="21"/>
                      <w:szCs w:val="21"/>
                    </w:rPr>
                    <w:t>Ⅱ</w:t>
                  </w:r>
                </w:p>
              </w:tc>
              <w:tc>
                <w:tcPr>
                  <w:tcW w:w="1582" w:type="dxa"/>
                  <w:vAlign w:val="center"/>
                </w:tcPr>
                <w:p>
                  <w:pPr>
                    <w:pStyle w:val="84"/>
                    <w:adjustRightInd w:val="0"/>
                    <w:snapToGrid w:val="0"/>
                    <w:rPr>
                      <w:sz w:val="21"/>
                      <w:szCs w:val="21"/>
                    </w:rPr>
                  </w:pPr>
                  <w:r>
                    <w:rPr>
                      <w:rFonts w:hint="eastAsia"/>
                      <w:sz w:val="21"/>
                      <w:szCs w:val="21"/>
                    </w:rPr>
                    <w:t>达标</w:t>
                  </w:r>
                </w:p>
              </w:tc>
              <w:tc>
                <w:tcPr>
                  <w:tcW w:w="663" w:type="dxa"/>
                  <w:vAlign w:val="center"/>
                </w:tcPr>
                <w:p>
                  <w:pPr>
                    <w:pStyle w:val="84"/>
                    <w:adjustRightInd w:val="0"/>
                    <w:snapToGrid w:val="0"/>
                    <w:rPr>
                      <w:sz w:val="21"/>
                      <w:szCs w:val="21"/>
                      <w:shd w:val="clear" w:color="auto" w:fill="FEFEFE"/>
                    </w:rPr>
                  </w:pPr>
                  <w:r>
                    <w:rPr>
                      <w:sz w:val="21"/>
                      <w:szCs w:val="21"/>
                    </w:rPr>
                    <w:t>Ⅲ</w:t>
                  </w:r>
                </w:p>
              </w:tc>
              <w:tc>
                <w:tcPr>
                  <w:tcW w:w="2406" w:type="dxa"/>
                  <w:vAlign w:val="center"/>
                </w:tcPr>
                <w:p>
                  <w:pPr>
                    <w:pStyle w:val="84"/>
                    <w:adjustRightInd w:val="0"/>
                    <w:snapToGrid w:val="0"/>
                    <w:rPr>
                      <w:sz w:val="21"/>
                      <w:szCs w:val="21"/>
                      <w:shd w:val="clear" w:color="auto" w:fill="FEFEFE"/>
                    </w:rPr>
                  </w:pPr>
                  <w:r>
                    <w:rPr>
                      <w:rFonts w:hint="eastAsia"/>
                      <w:sz w:val="21"/>
                      <w:szCs w:val="21"/>
                      <w:shd w:val="clear" w:color="auto" w:fill="FEFEFE"/>
                    </w:rPr>
                    <w:t>溶解氧</w:t>
                  </w:r>
                </w:p>
              </w:tc>
              <w:tc>
                <w:tcPr>
                  <w:tcW w:w="659" w:type="dxa"/>
                  <w:vAlign w:val="center"/>
                </w:tcPr>
                <w:p>
                  <w:pPr>
                    <w:pStyle w:val="84"/>
                    <w:adjustRightInd w:val="0"/>
                    <w:snapToGrid w:val="0"/>
                    <w:rPr>
                      <w:sz w:val="21"/>
                      <w:szCs w:val="21"/>
                      <w:shd w:val="clear" w:color="auto" w:fill="FEFEFE"/>
                    </w:rPr>
                  </w:pPr>
                  <w:r>
                    <w:rPr>
                      <w:sz w:val="21"/>
                      <w:szCs w:val="21"/>
                    </w:rPr>
                    <w:t>Ⅲ</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w:t>
                  </w:r>
                </w:p>
              </w:tc>
            </w:tr>
          </w:tbl>
          <w:p>
            <w:pPr>
              <w:adjustRightInd w:val="0"/>
              <w:snapToGrid w:val="0"/>
              <w:ind w:firstLine="422" w:firstLineChars="200"/>
              <w:rPr>
                <w:rFonts w:ascii="宋体" w:hAnsi="宋体" w:cs="宋体"/>
                <w:b/>
                <w:bCs/>
                <w:sz w:val="21"/>
                <w:szCs w:val="18"/>
              </w:rPr>
            </w:pPr>
            <w:r>
              <w:rPr>
                <w:rFonts w:hint="eastAsia" w:ascii="宋体" w:hAnsi="宋体" w:cs="宋体"/>
                <w:b/>
                <w:bCs/>
                <w:sz w:val="21"/>
                <w:szCs w:val="18"/>
              </w:rPr>
              <w:t>注：“—”表示断流</w:t>
            </w:r>
          </w:p>
          <w:p>
            <w:pPr>
              <w:adjustRightInd w:val="0"/>
              <w:snapToGrid w:val="0"/>
              <w:spacing w:beforeLines="50" w:line="360" w:lineRule="auto"/>
              <w:ind w:firstLine="482" w:firstLineChars="200"/>
              <w:rPr>
                <w:b/>
                <w:szCs w:val="24"/>
              </w:rPr>
            </w:pPr>
            <w:r>
              <w:rPr>
                <w:rFonts w:hint="eastAsia"/>
                <w:b/>
                <w:szCs w:val="24"/>
              </w:rPr>
              <w:t>2</w:t>
            </w:r>
            <w:r>
              <w:rPr>
                <w:b/>
                <w:szCs w:val="24"/>
              </w:rPr>
              <w:t>、环境空气质量现状</w:t>
            </w:r>
          </w:p>
          <w:p>
            <w:pPr>
              <w:adjustRightInd w:val="0"/>
              <w:snapToGrid w:val="0"/>
              <w:spacing w:line="360" w:lineRule="auto"/>
              <w:ind w:firstLine="480" w:firstLineChars="200"/>
            </w:pPr>
            <w:r>
              <w:rPr>
                <w:rFonts w:hint="eastAsia"/>
              </w:rPr>
              <w:t>根据环境影响评价技术导则大气环境（HJ2.2-2018）环境空气质量现状调查与评价的要求，项目所在区域达标判定，优先采用国家或地方生态或环境主管部门公开发布的评价基准年环境质量公告或环境质量报告中的数据和结论。</w:t>
            </w:r>
          </w:p>
          <w:p>
            <w:pPr>
              <w:adjustRightInd w:val="0"/>
              <w:snapToGrid w:val="0"/>
              <w:spacing w:line="360" w:lineRule="auto"/>
              <w:ind w:firstLine="480" w:firstLineChars="200"/>
            </w:pPr>
            <w:r>
              <w:rPr>
                <w:rFonts w:hint="eastAsia"/>
              </w:rPr>
              <w:t>本次环评采用《大理白族自治州2019年环境状况公报》：2019年，全州环境空气质量总体保持良好。12个县（市）中，按年均值评价，漾濞县符合环境空气质量一级标准，其余11个县（市）年评价结果均符合环境空气质量二级标准。按日均值评价，大理市优良天数比例为99.5%（出现轻度污染2天，超标污染物为臭氧，最大超标倍数为0.02倍），其它11个县优良天数比例均为100%，全州平均优良天数比例为99.95%。</w:t>
            </w:r>
          </w:p>
          <w:p>
            <w:pPr>
              <w:adjustRightInd w:val="0"/>
              <w:snapToGrid w:val="0"/>
              <w:spacing w:line="360" w:lineRule="auto"/>
              <w:ind w:firstLine="480" w:firstLineChars="200"/>
              <w:rPr>
                <w:szCs w:val="24"/>
              </w:rPr>
            </w:pPr>
            <w:r>
              <w:rPr>
                <w:rFonts w:hint="eastAsia"/>
                <w:szCs w:val="24"/>
              </w:rPr>
              <w:t>本项目位于云南省大理州洱源县，属于环境公报中的12县市之一，因此项目所在区域的环境空气质量能够满足《环境空气质量标准》（GB3095-2012）中的二级标准要求，项目所在区域为环境空气质量达标区。</w:t>
            </w:r>
          </w:p>
          <w:p>
            <w:pPr>
              <w:adjustRightInd w:val="0"/>
              <w:snapToGrid w:val="0"/>
              <w:spacing w:line="360" w:lineRule="auto"/>
              <w:ind w:firstLine="482" w:firstLineChars="200"/>
              <w:rPr>
                <w:szCs w:val="24"/>
              </w:rPr>
            </w:pPr>
            <w:r>
              <w:rPr>
                <w:rFonts w:hint="eastAsia"/>
                <w:b/>
                <w:szCs w:val="24"/>
              </w:rPr>
              <w:t>3</w:t>
            </w:r>
            <w:r>
              <w:rPr>
                <w:b/>
                <w:szCs w:val="24"/>
              </w:rPr>
              <w:t>、声环境质量现状</w:t>
            </w:r>
          </w:p>
          <w:p>
            <w:pPr>
              <w:adjustRightInd w:val="0"/>
              <w:snapToGrid w:val="0"/>
              <w:spacing w:line="360" w:lineRule="auto"/>
              <w:ind w:firstLine="482"/>
              <w:rPr>
                <w:b/>
                <w:szCs w:val="24"/>
              </w:rPr>
            </w:pPr>
            <w:r>
              <w:rPr>
                <w:rFonts w:hint="eastAsia"/>
                <w:szCs w:val="24"/>
              </w:rPr>
              <w:t>本项目位于云南省大理州洱源县，涉及洱源县的</w:t>
            </w:r>
            <w:r>
              <w:rPr>
                <w:szCs w:val="24"/>
              </w:rPr>
              <w:t>牛街乡、三营镇、茈碧湖镇、右所镇</w:t>
            </w:r>
            <w:r>
              <w:rPr>
                <w:rFonts w:hint="eastAsia"/>
                <w:szCs w:val="24"/>
              </w:rPr>
              <w:t>、</w:t>
            </w:r>
            <w:r>
              <w:rPr>
                <w:szCs w:val="24"/>
              </w:rPr>
              <w:t>邓川镇</w:t>
            </w:r>
            <w:r>
              <w:rPr>
                <w:rFonts w:hint="eastAsia"/>
                <w:szCs w:val="24"/>
              </w:rPr>
              <w:t>和凤羽镇6</w:t>
            </w:r>
            <w:r>
              <w:rPr>
                <w:szCs w:val="24"/>
              </w:rPr>
              <w:t>个乡镇行政区范围</w:t>
            </w:r>
            <w:r>
              <w:rPr>
                <w:rFonts w:hint="eastAsia"/>
                <w:szCs w:val="24"/>
              </w:rPr>
              <w:t>，均属于农村地区，参照执行</w:t>
            </w:r>
            <w:r>
              <w:rPr>
                <w:szCs w:val="24"/>
              </w:rPr>
              <w:t>《声环境质量标准》（GB3096-2008）中的</w:t>
            </w:r>
            <w:r>
              <w:rPr>
                <w:rFonts w:hint="eastAsia"/>
                <w:szCs w:val="24"/>
              </w:rPr>
              <w:t>2</w:t>
            </w:r>
            <w:r>
              <w:rPr>
                <w:szCs w:val="24"/>
              </w:rPr>
              <w:t>类标准</w:t>
            </w:r>
            <w:r>
              <w:rPr>
                <w:rFonts w:hint="eastAsia"/>
                <w:szCs w:val="24"/>
              </w:rPr>
              <w:t>。根据2018年邓川、牛街污水厂的委托监测报告，邓川、牛街污水厂厂界噪声均能达到</w:t>
            </w:r>
            <w:r>
              <w:rPr>
                <w:szCs w:val="24"/>
              </w:rPr>
              <w:t>《声环境质量标准》（GB3096-2008）中的</w:t>
            </w:r>
            <w:r>
              <w:rPr>
                <w:rFonts w:hint="eastAsia"/>
                <w:szCs w:val="24"/>
              </w:rPr>
              <w:t>2</w:t>
            </w:r>
            <w:r>
              <w:rPr>
                <w:szCs w:val="24"/>
              </w:rPr>
              <w:t>类标准</w:t>
            </w:r>
            <w:r>
              <w:rPr>
                <w:rFonts w:hint="eastAsia"/>
                <w:szCs w:val="24"/>
              </w:rPr>
              <w:t>。经现场踏勘调查，项目所在</w:t>
            </w:r>
            <w:r>
              <w:rPr>
                <w:rFonts w:hint="eastAsia"/>
                <w:bCs/>
                <w:szCs w:val="24"/>
              </w:rPr>
              <w:t>邓川、右所、牛街区域内没有大的工业噪声污染源，声环境质量较好</w:t>
            </w:r>
            <w:r>
              <w:rPr>
                <w:szCs w:val="24"/>
              </w:rPr>
              <w:t>。</w:t>
            </w:r>
            <w:r>
              <w:rPr>
                <w:rFonts w:hint="eastAsia"/>
                <w:szCs w:val="24"/>
              </w:rPr>
              <w:t>因此，整个农村区域的声环境质量应该都能满足</w:t>
            </w:r>
            <w:r>
              <w:rPr>
                <w:szCs w:val="24"/>
              </w:rPr>
              <w:t>《声环境质量标准》（GB3096-2008）中的</w:t>
            </w:r>
            <w:r>
              <w:rPr>
                <w:rFonts w:hint="eastAsia"/>
                <w:szCs w:val="24"/>
              </w:rPr>
              <w:t>2</w:t>
            </w:r>
            <w:r>
              <w:rPr>
                <w:szCs w:val="24"/>
              </w:rPr>
              <w:t>类标准</w:t>
            </w:r>
            <w:r>
              <w:rPr>
                <w:rFonts w:hint="eastAsia"/>
                <w:szCs w:val="24"/>
              </w:rPr>
              <w:t>要求。</w:t>
            </w:r>
          </w:p>
          <w:p>
            <w:pPr>
              <w:spacing w:line="372" w:lineRule="auto"/>
              <w:jc w:val="center"/>
              <w:rPr>
                <w:b/>
                <w:sz w:val="21"/>
              </w:rPr>
            </w:pPr>
            <w:r>
              <w:rPr>
                <w:b/>
                <w:sz w:val="21"/>
              </w:rPr>
              <w:t xml:space="preserve">表3-2  </w:t>
            </w:r>
            <w:r>
              <w:rPr>
                <w:b/>
                <w:bCs/>
                <w:sz w:val="21"/>
                <w:szCs w:val="21"/>
              </w:rPr>
              <w:t>邓川污水厂厂界噪声</w:t>
            </w:r>
            <w:r>
              <w:rPr>
                <w:b/>
                <w:sz w:val="21"/>
              </w:rPr>
              <w:t>监测结果  单位：dB(A)</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3"/>
              <w:gridCol w:w="1894"/>
              <w:gridCol w:w="1346"/>
              <w:gridCol w:w="1487"/>
              <w:gridCol w:w="1471"/>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restart"/>
                  <w:vAlign w:val="center"/>
                </w:tcPr>
                <w:p>
                  <w:pPr>
                    <w:widowControl/>
                    <w:jc w:val="center"/>
                    <w:rPr>
                      <w:b/>
                      <w:bCs/>
                      <w:sz w:val="21"/>
                    </w:rPr>
                  </w:pPr>
                  <w:r>
                    <w:rPr>
                      <w:b/>
                      <w:bCs/>
                      <w:sz w:val="21"/>
                    </w:rPr>
                    <w:t>检测内容</w:t>
                  </w:r>
                </w:p>
              </w:tc>
              <w:tc>
                <w:tcPr>
                  <w:tcW w:w="1894" w:type="dxa"/>
                  <w:vMerge w:val="restart"/>
                  <w:vAlign w:val="center"/>
                </w:tcPr>
                <w:p>
                  <w:pPr>
                    <w:widowControl/>
                    <w:jc w:val="center"/>
                    <w:rPr>
                      <w:b/>
                      <w:bCs/>
                      <w:sz w:val="21"/>
                    </w:rPr>
                  </w:pPr>
                  <w:r>
                    <w:rPr>
                      <w:b/>
                      <w:bCs/>
                      <w:sz w:val="21"/>
                    </w:rPr>
                    <w:t>检测点位置</w:t>
                  </w:r>
                </w:p>
              </w:tc>
              <w:tc>
                <w:tcPr>
                  <w:tcW w:w="1346" w:type="dxa"/>
                  <w:vMerge w:val="restart"/>
                  <w:vAlign w:val="center"/>
                </w:tcPr>
                <w:p>
                  <w:pPr>
                    <w:widowControl/>
                    <w:jc w:val="center"/>
                    <w:rPr>
                      <w:b/>
                      <w:bCs/>
                      <w:sz w:val="21"/>
                    </w:rPr>
                  </w:pPr>
                  <w:r>
                    <w:rPr>
                      <w:b/>
                      <w:bCs/>
                      <w:sz w:val="21"/>
                    </w:rPr>
                    <w:t>检测日期</w:t>
                  </w:r>
                </w:p>
              </w:tc>
              <w:tc>
                <w:tcPr>
                  <w:tcW w:w="2958" w:type="dxa"/>
                  <w:gridSpan w:val="2"/>
                  <w:vAlign w:val="center"/>
                </w:tcPr>
                <w:p>
                  <w:pPr>
                    <w:widowControl/>
                    <w:jc w:val="center"/>
                    <w:rPr>
                      <w:b/>
                      <w:bCs/>
                      <w:sz w:val="21"/>
                    </w:rPr>
                  </w:pPr>
                  <w:r>
                    <w:rPr>
                      <w:b/>
                      <w:bCs/>
                      <w:sz w:val="21"/>
                    </w:rPr>
                    <w:t>检测结果</w:t>
                  </w:r>
                </w:p>
              </w:tc>
              <w:tc>
                <w:tcPr>
                  <w:tcW w:w="1339" w:type="dxa"/>
                  <w:vMerge w:val="restart"/>
                  <w:vAlign w:val="center"/>
                </w:tcPr>
                <w:p>
                  <w:pPr>
                    <w:widowControl/>
                    <w:jc w:val="center"/>
                    <w:rPr>
                      <w:b/>
                      <w:bCs/>
                      <w:sz w:val="21"/>
                    </w:rPr>
                  </w:pPr>
                  <w:r>
                    <w:rPr>
                      <w:b/>
                      <w:bCs/>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continue"/>
                  <w:vAlign w:val="center"/>
                </w:tcPr>
                <w:p>
                  <w:pPr>
                    <w:widowControl/>
                    <w:jc w:val="center"/>
                    <w:rPr>
                      <w:b/>
                      <w:bCs/>
                      <w:sz w:val="21"/>
                    </w:rPr>
                  </w:pPr>
                </w:p>
              </w:tc>
              <w:tc>
                <w:tcPr>
                  <w:tcW w:w="1894" w:type="dxa"/>
                  <w:vMerge w:val="continue"/>
                  <w:vAlign w:val="center"/>
                </w:tcPr>
                <w:p>
                  <w:pPr>
                    <w:widowControl/>
                    <w:jc w:val="center"/>
                    <w:rPr>
                      <w:b/>
                      <w:bCs/>
                      <w:sz w:val="21"/>
                    </w:rPr>
                  </w:pPr>
                </w:p>
              </w:tc>
              <w:tc>
                <w:tcPr>
                  <w:tcW w:w="1346" w:type="dxa"/>
                  <w:vMerge w:val="continue"/>
                  <w:vAlign w:val="center"/>
                </w:tcPr>
                <w:p>
                  <w:pPr>
                    <w:widowControl/>
                    <w:jc w:val="center"/>
                    <w:rPr>
                      <w:b/>
                      <w:bCs/>
                      <w:sz w:val="21"/>
                    </w:rPr>
                  </w:pPr>
                </w:p>
              </w:tc>
              <w:tc>
                <w:tcPr>
                  <w:tcW w:w="1487" w:type="dxa"/>
                  <w:vAlign w:val="center"/>
                </w:tcPr>
                <w:p>
                  <w:pPr>
                    <w:widowControl/>
                    <w:jc w:val="center"/>
                    <w:rPr>
                      <w:b/>
                      <w:bCs/>
                      <w:sz w:val="21"/>
                    </w:rPr>
                  </w:pPr>
                  <w:r>
                    <w:rPr>
                      <w:b/>
                      <w:bCs/>
                      <w:sz w:val="21"/>
                    </w:rPr>
                    <w:t>时段（昼间）</w:t>
                  </w:r>
                </w:p>
              </w:tc>
              <w:tc>
                <w:tcPr>
                  <w:tcW w:w="1471" w:type="dxa"/>
                  <w:vAlign w:val="center"/>
                </w:tcPr>
                <w:p>
                  <w:pPr>
                    <w:widowControl/>
                    <w:jc w:val="center"/>
                    <w:rPr>
                      <w:b/>
                      <w:bCs/>
                      <w:sz w:val="21"/>
                    </w:rPr>
                  </w:pPr>
                  <w:r>
                    <w:rPr>
                      <w:b/>
                      <w:bCs/>
                      <w:sz w:val="21"/>
                    </w:rPr>
                    <w:t>时段（夜间）</w:t>
                  </w:r>
                </w:p>
              </w:tc>
              <w:tc>
                <w:tcPr>
                  <w:tcW w:w="1337" w:type="dxa"/>
                  <w:vMerge w:val="continue"/>
                  <w:vAlign w:val="center"/>
                </w:tcPr>
                <w:p>
                  <w:pPr>
                    <w:widowControl/>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restart"/>
                  <w:vAlign w:val="center"/>
                </w:tcPr>
                <w:p>
                  <w:pPr>
                    <w:widowControl/>
                    <w:jc w:val="center"/>
                    <w:rPr>
                      <w:sz w:val="21"/>
                    </w:rPr>
                  </w:pPr>
                  <w:r>
                    <w:rPr>
                      <w:sz w:val="21"/>
                    </w:rPr>
                    <w:t>环境噪声</w:t>
                  </w:r>
                </w:p>
              </w:tc>
              <w:tc>
                <w:tcPr>
                  <w:tcW w:w="1894" w:type="dxa"/>
                  <w:vAlign w:val="center"/>
                </w:tcPr>
                <w:p>
                  <w:pPr>
                    <w:widowControl/>
                    <w:jc w:val="center"/>
                    <w:rPr>
                      <w:sz w:val="21"/>
                    </w:rPr>
                  </w:pPr>
                  <w:r>
                    <w:rPr>
                      <w:sz w:val="21"/>
                    </w:rPr>
                    <w:t>厂界东</w:t>
                  </w:r>
                </w:p>
              </w:tc>
              <w:tc>
                <w:tcPr>
                  <w:tcW w:w="1346" w:type="dxa"/>
                  <w:vMerge w:val="restart"/>
                  <w:vAlign w:val="center"/>
                </w:tcPr>
                <w:p>
                  <w:pPr>
                    <w:widowControl/>
                    <w:jc w:val="center"/>
                    <w:rPr>
                      <w:sz w:val="21"/>
                    </w:rPr>
                  </w:pPr>
                  <w:r>
                    <w:rPr>
                      <w:sz w:val="21"/>
                    </w:rPr>
                    <w:t>2018年9月21日</w:t>
                  </w:r>
                </w:p>
              </w:tc>
              <w:tc>
                <w:tcPr>
                  <w:tcW w:w="1487" w:type="dxa"/>
                  <w:vAlign w:val="center"/>
                </w:tcPr>
                <w:p>
                  <w:pPr>
                    <w:widowControl/>
                    <w:jc w:val="center"/>
                    <w:rPr>
                      <w:sz w:val="21"/>
                    </w:rPr>
                  </w:pPr>
                  <w:r>
                    <w:rPr>
                      <w:sz w:val="21"/>
                    </w:rPr>
                    <w:t>50.3</w:t>
                  </w:r>
                </w:p>
              </w:tc>
              <w:tc>
                <w:tcPr>
                  <w:tcW w:w="1471" w:type="dxa"/>
                  <w:vAlign w:val="center"/>
                </w:tcPr>
                <w:p>
                  <w:pPr>
                    <w:widowControl/>
                    <w:jc w:val="center"/>
                    <w:rPr>
                      <w:sz w:val="21"/>
                    </w:rPr>
                  </w:pPr>
                  <w:r>
                    <w:rPr>
                      <w:sz w:val="21"/>
                    </w:rPr>
                    <w:t>45.5</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continue"/>
                  <w:vAlign w:val="center"/>
                </w:tcPr>
                <w:p>
                  <w:pPr>
                    <w:widowControl/>
                    <w:jc w:val="center"/>
                    <w:rPr>
                      <w:sz w:val="21"/>
                    </w:rPr>
                  </w:pPr>
                </w:p>
              </w:tc>
              <w:tc>
                <w:tcPr>
                  <w:tcW w:w="1894" w:type="dxa"/>
                  <w:vAlign w:val="center"/>
                </w:tcPr>
                <w:p>
                  <w:pPr>
                    <w:widowControl/>
                    <w:jc w:val="center"/>
                    <w:rPr>
                      <w:sz w:val="21"/>
                    </w:rPr>
                  </w:pPr>
                  <w:r>
                    <w:rPr>
                      <w:sz w:val="21"/>
                    </w:rPr>
                    <w:t>厂界南</w:t>
                  </w:r>
                </w:p>
              </w:tc>
              <w:tc>
                <w:tcPr>
                  <w:tcW w:w="1346" w:type="dxa"/>
                  <w:vMerge w:val="continue"/>
                  <w:vAlign w:val="center"/>
                </w:tcPr>
                <w:p>
                  <w:pPr>
                    <w:widowControl/>
                    <w:jc w:val="center"/>
                    <w:rPr>
                      <w:sz w:val="21"/>
                    </w:rPr>
                  </w:pPr>
                </w:p>
              </w:tc>
              <w:tc>
                <w:tcPr>
                  <w:tcW w:w="1487" w:type="dxa"/>
                  <w:vAlign w:val="center"/>
                </w:tcPr>
                <w:p>
                  <w:pPr>
                    <w:widowControl/>
                    <w:jc w:val="center"/>
                    <w:rPr>
                      <w:sz w:val="21"/>
                    </w:rPr>
                  </w:pPr>
                  <w:r>
                    <w:rPr>
                      <w:sz w:val="21"/>
                    </w:rPr>
                    <w:t>49.6</w:t>
                  </w:r>
                </w:p>
              </w:tc>
              <w:tc>
                <w:tcPr>
                  <w:tcW w:w="1471" w:type="dxa"/>
                  <w:vAlign w:val="center"/>
                </w:tcPr>
                <w:p>
                  <w:pPr>
                    <w:widowControl/>
                    <w:jc w:val="center"/>
                    <w:rPr>
                      <w:sz w:val="21"/>
                    </w:rPr>
                  </w:pPr>
                  <w:r>
                    <w:rPr>
                      <w:sz w:val="21"/>
                    </w:rPr>
                    <w:t>44.3</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continue"/>
                  <w:vAlign w:val="center"/>
                </w:tcPr>
                <w:p>
                  <w:pPr>
                    <w:widowControl/>
                    <w:jc w:val="center"/>
                    <w:rPr>
                      <w:sz w:val="21"/>
                    </w:rPr>
                  </w:pPr>
                </w:p>
              </w:tc>
              <w:tc>
                <w:tcPr>
                  <w:tcW w:w="1894" w:type="dxa"/>
                  <w:vAlign w:val="center"/>
                </w:tcPr>
                <w:p>
                  <w:pPr>
                    <w:widowControl/>
                    <w:jc w:val="center"/>
                    <w:rPr>
                      <w:sz w:val="21"/>
                    </w:rPr>
                  </w:pPr>
                  <w:r>
                    <w:rPr>
                      <w:sz w:val="21"/>
                    </w:rPr>
                    <w:t>厂界西</w:t>
                  </w:r>
                </w:p>
              </w:tc>
              <w:tc>
                <w:tcPr>
                  <w:tcW w:w="1346" w:type="dxa"/>
                  <w:vMerge w:val="continue"/>
                  <w:vAlign w:val="center"/>
                </w:tcPr>
                <w:p>
                  <w:pPr>
                    <w:widowControl/>
                    <w:jc w:val="center"/>
                    <w:rPr>
                      <w:sz w:val="21"/>
                    </w:rPr>
                  </w:pPr>
                </w:p>
              </w:tc>
              <w:tc>
                <w:tcPr>
                  <w:tcW w:w="1487" w:type="dxa"/>
                  <w:vAlign w:val="center"/>
                </w:tcPr>
                <w:p>
                  <w:pPr>
                    <w:widowControl/>
                    <w:jc w:val="center"/>
                    <w:rPr>
                      <w:sz w:val="21"/>
                    </w:rPr>
                  </w:pPr>
                  <w:r>
                    <w:rPr>
                      <w:sz w:val="21"/>
                    </w:rPr>
                    <w:t>47.2</w:t>
                  </w:r>
                </w:p>
              </w:tc>
              <w:tc>
                <w:tcPr>
                  <w:tcW w:w="1471" w:type="dxa"/>
                  <w:vAlign w:val="center"/>
                </w:tcPr>
                <w:p>
                  <w:pPr>
                    <w:widowControl/>
                    <w:jc w:val="center"/>
                    <w:rPr>
                      <w:sz w:val="21"/>
                    </w:rPr>
                  </w:pPr>
                  <w:r>
                    <w:rPr>
                      <w:sz w:val="21"/>
                    </w:rPr>
                    <w:t>42.1</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continue"/>
                  <w:vAlign w:val="center"/>
                </w:tcPr>
                <w:p>
                  <w:pPr>
                    <w:widowControl/>
                    <w:jc w:val="center"/>
                    <w:rPr>
                      <w:sz w:val="21"/>
                    </w:rPr>
                  </w:pPr>
                </w:p>
              </w:tc>
              <w:tc>
                <w:tcPr>
                  <w:tcW w:w="1894" w:type="dxa"/>
                  <w:vAlign w:val="center"/>
                </w:tcPr>
                <w:p>
                  <w:pPr>
                    <w:widowControl/>
                    <w:jc w:val="center"/>
                    <w:rPr>
                      <w:sz w:val="21"/>
                    </w:rPr>
                  </w:pPr>
                  <w:r>
                    <w:rPr>
                      <w:sz w:val="21"/>
                    </w:rPr>
                    <w:t>厂界北</w:t>
                  </w:r>
                </w:p>
              </w:tc>
              <w:tc>
                <w:tcPr>
                  <w:tcW w:w="1346" w:type="dxa"/>
                  <w:vMerge w:val="continue"/>
                  <w:vAlign w:val="center"/>
                </w:tcPr>
                <w:p>
                  <w:pPr>
                    <w:widowControl/>
                    <w:jc w:val="center"/>
                    <w:rPr>
                      <w:sz w:val="21"/>
                    </w:rPr>
                  </w:pPr>
                </w:p>
              </w:tc>
              <w:tc>
                <w:tcPr>
                  <w:tcW w:w="1487" w:type="dxa"/>
                  <w:vAlign w:val="center"/>
                </w:tcPr>
                <w:p>
                  <w:pPr>
                    <w:widowControl/>
                    <w:jc w:val="center"/>
                    <w:rPr>
                      <w:sz w:val="21"/>
                    </w:rPr>
                  </w:pPr>
                  <w:r>
                    <w:rPr>
                      <w:sz w:val="21"/>
                    </w:rPr>
                    <w:t>48.9</w:t>
                  </w:r>
                </w:p>
              </w:tc>
              <w:tc>
                <w:tcPr>
                  <w:tcW w:w="1471" w:type="dxa"/>
                  <w:vAlign w:val="center"/>
                </w:tcPr>
                <w:p>
                  <w:pPr>
                    <w:widowControl/>
                    <w:jc w:val="center"/>
                    <w:rPr>
                      <w:sz w:val="21"/>
                    </w:rPr>
                  </w:pPr>
                  <w:r>
                    <w:rPr>
                      <w:sz w:val="21"/>
                    </w:rPr>
                    <w:t>41.9</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3" w:type="dxa"/>
                  <w:gridSpan w:val="3"/>
                  <w:vAlign w:val="center"/>
                </w:tcPr>
                <w:p>
                  <w:pPr>
                    <w:widowControl/>
                    <w:jc w:val="center"/>
                    <w:rPr>
                      <w:sz w:val="21"/>
                    </w:rPr>
                  </w:pPr>
                  <w:r>
                    <w:rPr>
                      <w:sz w:val="21"/>
                    </w:rPr>
                    <w:t>评价标准</w:t>
                  </w:r>
                </w:p>
              </w:tc>
              <w:tc>
                <w:tcPr>
                  <w:tcW w:w="1487" w:type="dxa"/>
                  <w:vAlign w:val="center"/>
                </w:tcPr>
                <w:p>
                  <w:pPr>
                    <w:widowControl/>
                    <w:jc w:val="center"/>
                    <w:rPr>
                      <w:sz w:val="21"/>
                    </w:rPr>
                  </w:pPr>
                  <w:r>
                    <w:rPr>
                      <w:sz w:val="21"/>
                    </w:rPr>
                    <w:t>60</w:t>
                  </w:r>
                </w:p>
              </w:tc>
              <w:tc>
                <w:tcPr>
                  <w:tcW w:w="1471" w:type="dxa"/>
                  <w:vAlign w:val="center"/>
                </w:tcPr>
                <w:p>
                  <w:pPr>
                    <w:widowControl/>
                    <w:jc w:val="center"/>
                    <w:rPr>
                      <w:sz w:val="21"/>
                    </w:rPr>
                  </w:pPr>
                  <w:r>
                    <w:rPr>
                      <w:sz w:val="21"/>
                    </w:rPr>
                    <w:t>50</w:t>
                  </w:r>
                </w:p>
              </w:tc>
              <w:tc>
                <w:tcPr>
                  <w:tcW w:w="1339" w:type="dxa"/>
                  <w:vAlign w:val="center"/>
                </w:tcPr>
                <w:p>
                  <w:pPr>
                    <w:widowControl/>
                    <w:jc w:val="center"/>
                    <w:rPr>
                      <w:sz w:val="21"/>
                    </w:rPr>
                  </w:pPr>
                  <w:r>
                    <w:rPr>
                      <w:sz w:val="21"/>
                    </w:rPr>
                    <w:t>/</w:t>
                  </w:r>
                </w:p>
              </w:tc>
            </w:tr>
          </w:tbl>
          <w:p>
            <w:pPr>
              <w:spacing w:line="372" w:lineRule="auto"/>
              <w:jc w:val="center"/>
              <w:rPr>
                <w:b/>
                <w:sz w:val="21"/>
              </w:rPr>
            </w:pPr>
            <w:r>
              <w:rPr>
                <w:b/>
                <w:sz w:val="21"/>
              </w:rPr>
              <w:t>表3-3 牛街污水厂厂界噪声监测结果表</w:t>
            </w:r>
          </w:p>
          <w:tbl>
            <w:tblPr>
              <w:tblStyle w:val="37"/>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074"/>
              <w:gridCol w:w="1869"/>
              <w:gridCol w:w="1856"/>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restart"/>
                  <w:tcBorders>
                    <w:top w:val="single" w:color="auto" w:sz="4" w:space="0"/>
                  </w:tcBorders>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1074" w:type="dxa"/>
                  <w:vMerge w:val="restart"/>
                  <w:tcBorders>
                    <w:top w:val="single" w:color="auto" w:sz="4" w:space="0"/>
                  </w:tcBorders>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725" w:type="dxa"/>
                  <w:gridSpan w:val="2"/>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Leq (A) 值 [dB (A)]</w:t>
                  </w:r>
                </w:p>
              </w:tc>
              <w:tc>
                <w:tcPr>
                  <w:tcW w:w="1720" w:type="dxa"/>
                  <w:vMerge w:val="restart"/>
                  <w:tcBorders>
                    <w:top w:val="single" w:color="auto" w:sz="4" w:space="0"/>
                    <w:right w:val="single" w:color="000000" w:sz="8" w:space="0"/>
                  </w:tcBorders>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continue"/>
                  <w:vAlign w:val="center"/>
                </w:tcPr>
                <w:p>
                  <w:pPr>
                    <w:jc w:val="center"/>
                    <w:rPr>
                      <w:b/>
                      <w:bCs/>
                      <w:sz w:val="21"/>
                      <w:szCs w:val="21"/>
                    </w:rPr>
                  </w:pPr>
                </w:p>
              </w:tc>
              <w:tc>
                <w:tcPr>
                  <w:tcW w:w="1074" w:type="dxa"/>
                  <w:vMerge w:val="continue"/>
                  <w:vAlign w:val="center"/>
                </w:tcPr>
                <w:p>
                  <w:pPr>
                    <w:jc w:val="center"/>
                    <w:rPr>
                      <w:b/>
                      <w:bCs/>
                      <w:sz w:val="21"/>
                      <w:szCs w:val="21"/>
                    </w:rPr>
                  </w:pPr>
                </w:p>
              </w:tc>
              <w:tc>
                <w:tcPr>
                  <w:tcW w:w="1869"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856"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72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continue"/>
                  <w:vAlign w:val="center"/>
                </w:tcPr>
                <w:p>
                  <w:pPr>
                    <w:jc w:val="center"/>
                    <w:rPr>
                      <w:b/>
                      <w:bCs/>
                      <w:sz w:val="21"/>
                      <w:szCs w:val="21"/>
                    </w:rPr>
                  </w:pPr>
                </w:p>
              </w:tc>
              <w:tc>
                <w:tcPr>
                  <w:tcW w:w="1074" w:type="dxa"/>
                  <w:vMerge w:val="continue"/>
                  <w:vAlign w:val="center"/>
                </w:tcPr>
                <w:p>
                  <w:pPr>
                    <w:jc w:val="center"/>
                    <w:rPr>
                      <w:b/>
                      <w:bCs/>
                      <w:sz w:val="21"/>
                      <w:szCs w:val="21"/>
                    </w:rPr>
                  </w:pPr>
                </w:p>
              </w:tc>
              <w:tc>
                <w:tcPr>
                  <w:tcW w:w="1869"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昼间</w:t>
                  </w:r>
                </w:p>
              </w:tc>
              <w:tc>
                <w:tcPr>
                  <w:tcW w:w="1856"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夜间</w:t>
                  </w:r>
                </w:p>
              </w:tc>
              <w:tc>
                <w:tcPr>
                  <w:tcW w:w="172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restart"/>
                  <w:vAlign w:val="center"/>
                </w:tcPr>
                <w:p>
                  <w:pPr>
                    <w:jc w:val="center"/>
                    <w:rPr>
                      <w:sz w:val="21"/>
                      <w:szCs w:val="21"/>
                    </w:rPr>
                  </w:pPr>
                  <w:r>
                    <w:rPr>
                      <w:sz w:val="21"/>
                      <w:szCs w:val="21"/>
                    </w:rPr>
                    <w:t>2018年</w:t>
                  </w:r>
                </w:p>
                <w:p>
                  <w:pPr>
                    <w:jc w:val="center"/>
                    <w:rPr>
                      <w:sz w:val="21"/>
                      <w:szCs w:val="21"/>
                    </w:rPr>
                  </w:pPr>
                  <w:r>
                    <w:rPr>
                      <w:sz w:val="21"/>
                      <w:szCs w:val="21"/>
                    </w:rPr>
                    <w:t>12月8日</w:t>
                  </w:r>
                </w:p>
              </w:tc>
              <w:tc>
                <w:tcPr>
                  <w:tcW w:w="1074" w:type="dxa"/>
                  <w:vAlign w:val="center"/>
                </w:tcPr>
                <w:p>
                  <w:pPr>
                    <w:jc w:val="center"/>
                    <w:rPr>
                      <w:sz w:val="21"/>
                      <w:szCs w:val="21"/>
                    </w:rPr>
                  </w:pPr>
                  <w:r>
                    <w:rPr>
                      <w:sz w:val="21"/>
                      <w:szCs w:val="21"/>
                    </w:rPr>
                    <w:t>东</w:t>
                  </w:r>
                </w:p>
              </w:tc>
              <w:tc>
                <w:tcPr>
                  <w:tcW w:w="1869" w:type="dxa"/>
                  <w:vAlign w:val="center"/>
                </w:tcPr>
                <w:p>
                  <w:pPr>
                    <w:jc w:val="center"/>
                    <w:textAlignment w:val="center"/>
                    <w:rPr>
                      <w:sz w:val="21"/>
                      <w:szCs w:val="21"/>
                    </w:rPr>
                  </w:pPr>
                  <w:r>
                    <w:rPr>
                      <w:sz w:val="21"/>
                      <w:szCs w:val="21"/>
                    </w:rPr>
                    <w:t xml:space="preserve">44.9 </w:t>
                  </w:r>
                </w:p>
              </w:tc>
              <w:tc>
                <w:tcPr>
                  <w:tcW w:w="1856" w:type="dxa"/>
                  <w:vAlign w:val="center"/>
                </w:tcPr>
                <w:p>
                  <w:pPr>
                    <w:jc w:val="center"/>
                    <w:textAlignment w:val="center"/>
                    <w:rPr>
                      <w:sz w:val="21"/>
                      <w:szCs w:val="21"/>
                    </w:rPr>
                  </w:pPr>
                  <w:r>
                    <w:rPr>
                      <w:sz w:val="21"/>
                      <w:szCs w:val="21"/>
                    </w:rPr>
                    <w:t xml:space="preserve">43.8 </w:t>
                  </w:r>
                </w:p>
              </w:tc>
              <w:tc>
                <w:tcPr>
                  <w:tcW w:w="1720" w:type="dxa"/>
                  <w:vMerge w:val="restart"/>
                  <w:tcBorders>
                    <w:right w:val="single" w:color="000000" w:sz="8" w:space="0"/>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continue"/>
                  <w:vAlign w:val="center"/>
                </w:tcPr>
                <w:p>
                  <w:pPr>
                    <w:jc w:val="center"/>
                    <w:rPr>
                      <w:sz w:val="21"/>
                      <w:szCs w:val="21"/>
                    </w:rPr>
                  </w:pPr>
                </w:p>
              </w:tc>
              <w:tc>
                <w:tcPr>
                  <w:tcW w:w="1074" w:type="dxa"/>
                  <w:vAlign w:val="center"/>
                </w:tcPr>
                <w:p>
                  <w:pPr>
                    <w:jc w:val="center"/>
                    <w:rPr>
                      <w:sz w:val="21"/>
                      <w:szCs w:val="21"/>
                    </w:rPr>
                  </w:pPr>
                  <w:r>
                    <w:rPr>
                      <w:sz w:val="21"/>
                      <w:szCs w:val="21"/>
                    </w:rPr>
                    <w:t>南</w:t>
                  </w:r>
                </w:p>
              </w:tc>
              <w:tc>
                <w:tcPr>
                  <w:tcW w:w="1869" w:type="dxa"/>
                  <w:vAlign w:val="center"/>
                </w:tcPr>
                <w:p>
                  <w:pPr>
                    <w:jc w:val="center"/>
                    <w:textAlignment w:val="center"/>
                    <w:rPr>
                      <w:sz w:val="21"/>
                      <w:szCs w:val="21"/>
                    </w:rPr>
                  </w:pPr>
                  <w:r>
                    <w:rPr>
                      <w:sz w:val="21"/>
                      <w:szCs w:val="21"/>
                    </w:rPr>
                    <w:t xml:space="preserve">44.3 </w:t>
                  </w:r>
                </w:p>
              </w:tc>
              <w:tc>
                <w:tcPr>
                  <w:tcW w:w="1856" w:type="dxa"/>
                  <w:vAlign w:val="center"/>
                </w:tcPr>
                <w:p>
                  <w:pPr>
                    <w:jc w:val="center"/>
                    <w:textAlignment w:val="center"/>
                    <w:rPr>
                      <w:sz w:val="21"/>
                      <w:szCs w:val="21"/>
                    </w:rPr>
                  </w:pPr>
                  <w:r>
                    <w:rPr>
                      <w:sz w:val="21"/>
                      <w:szCs w:val="21"/>
                    </w:rPr>
                    <w:t xml:space="preserve">43.2 </w:t>
                  </w:r>
                </w:p>
              </w:tc>
              <w:tc>
                <w:tcPr>
                  <w:tcW w:w="172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continue"/>
                  <w:vAlign w:val="center"/>
                </w:tcPr>
                <w:p>
                  <w:pPr>
                    <w:jc w:val="center"/>
                    <w:rPr>
                      <w:sz w:val="21"/>
                      <w:szCs w:val="21"/>
                    </w:rPr>
                  </w:pPr>
                </w:p>
              </w:tc>
              <w:tc>
                <w:tcPr>
                  <w:tcW w:w="1074" w:type="dxa"/>
                  <w:vAlign w:val="center"/>
                </w:tcPr>
                <w:p>
                  <w:pPr>
                    <w:jc w:val="center"/>
                    <w:rPr>
                      <w:sz w:val="21"/>
                      <w:szCs w:val="21"/>
                    </w:rPr>
                  </w:pPr>
                  <w:r>
                    <w:rPr>
                      <w:sz w:val="21"/>
                      <w:szCs w:val="21"/>
                    </w:rPr>
                    <w:t>西</w:t>
                  </w:r>
                </w:p>
              </w:tc>
              <w:tc>
                <w:tcPr>
                  <w:tcW w:w="1869" w:type="dxa"/>
                  <w:vAlign w:val="center"/>
                </w:tcPr>
                <w:p>
                  <w:pPr>
                    <w:jc w:val="center"/>
                    <w:textAlignment w:val="center"/>
                    <w:rPr>
                      <w:sz w:val="21"/>
                      <w:szCs w:val="21"/>
                    </w:rPr>
                  </w:pPr>
                  <w:r>
                    <w:rPr>
                      <w:sz w:val="21"/>
                      <w:szCs w:val="21"/>
                    </w:rPr>
                    <w:t xml:space="preserve">43.2 </w:t>
                  </w:r>
                </w:p>
              </w:tc>
              <w:tc>
                <w:tcPr>
                  <w:tcW w:w="1856" w:type="dxa"/>
                  <w:vAlign w:val="center"/>
                </w:tcPr>
                <w:p>
                  <w:pPr>
                    <w:jc w:val="center"/>
                    <w:textAlignment w:val="center"/>
                    <w:rPr>
                      <w:sz w:val="21"/>
                      <w:szCs w:val="21"/>
                    </w:rPr>
                  </w:pPr>
                  <w:r>
                    <w:rPr>
                      <w:sz w:val="21"/>
                      <w:szCs w:val="21"/>
                    </w:rPr>
                    <w:t xml:space="preserve">44.4 </w:t>
                  </w:r>
                </w:p>
              </w:tc>
              <w:tc>
                <w:tcPr>
                  <w:tcW w:w="172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continue"/>
                  <w:vAlign w:val="center"/>
                </w:tcPr>
                <w:p>
                  <w:pPr>
                    <w:jc w:val="center"/>
                    <w:rPr>
                      <w:sz w:val="21"/>
                      <w:szCs w:val="21"/>
                    </w:rPr>
                  </w:pPr>
                </w:p>
              </w:tc>
              <w:tc>
                <w:tcPr>
                  <w:tcW w:w="1074" w:type="dxa"/>
                  <w:vAlign w:val="center"/>
                </w:tcPr>
                <w:p>
                  <w:pPr>
                    <w:jc w:val="center"/>
                    <w:rPr>
                      <w:sz w:val="21"/>
                      <w:szCs w:val="21"/>
                    </w:rPr>
                  </w:pPr>
                  <w:r>
                    <w:rPr>
                      <w:sz w:val="21"/>
                      <w:szCs w:val="21"/>
                    </w:rPr>
                    <w:t>北</w:t>
                  </w:r>
                </w:p>
              </w:tc>
              <w:tc>
                <w:tcPr>
                  <w:tcW w:w="1869" w:type="dxa"/>
                  <w:vAlign w:val="center"/>
                </w:tcPr>
                <w:p>
                  <w:pPr>
                    <w:jc w:val="center"/>
                    <w:textAlignment w:val="center"/>
                    <w:rPr>
                      <w:sz w:val="21"/>
                      <w:szCs w:val="21"/>
                    </w:rPr>
                  </w:pPr>
                  <w:r>
                    <w:rPr>
                      <w:sz w:val="21"/>
                      <w:szCs w:val="21"/>
                    </w:rPr>
                    <w:t xml:space="preserve">46.9 </w:t>
                  </w:r>
                </w:p>
              </w:tc>
              <w:tc>
                <w:tcPr>
                  <w:tcW w:w="1856" w:type="dxa"/>
                  <w:vAlign w:val="center"/>
                </w:tcPr>
                <w:p>
                  <w:pPr>
                    <w:jc w:val="center"/>
                    <w:textAlignment w:val="center"/>
                    <w:rPr>
                      <w:sz w:val="21"/>
                      <w:szCs w:val="21"/>
                    </w:rPr>
                  </w:pPr>
                  <w:r>
                    <w:rPr>
                      <w:sz w:val="21"/>
                      <w:szCs w:val="21"/>
                    </w:rPr>
                    <w:t xml:space="preserve">46.6 </w:t>
                  </w:r>
                </w:p>
              </w:tc>
              <w:tc>
                <w:tcPr>
                  <w:tcW w:w="172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4" w:type="dxa"/>
                  <w:gridSpan w:val="2"/>
                  <w:vAlign w:val="center"/>
                </w:tcPr>
                <w:p>
                  <w:pPr>
                    <w:jc w:val="center"/>
                    <w:rPr>
                      <w:sz w:val="21"/>
                      <w:szCs w:val="21"/>
                    </w:rPr>
                  </w:pPr>
                  <w:r>
                    <w:rPr>
                      <w:sz w:val="21"/>
                    </w:rPr>
                    <w:t>评价标准</w:t>
                  </w:r>
                </w:p>
              </w:tc>
              <w:tc>
                <w:tcPr>
                  <w:tcW w:w="1869" w:type="dxa"/>
                  <w:vAlign w:val="center"/>
                </w:tcPr>
                <w:p>
                  <w:pPr>
                    <w:widowControl/>
                    <w:jc w:val="center"/>
                    <w:rPr>
                      <w:sz w:val="21"/>
                    </w:rPr>
                  </w:pPr>
                  <w:r>
                    <w:rPr>
                      <w:sz w:val="21"/>
                    </w:rPr>
                    <w:t>60</w:t>
                  </w:r>
                </w:p>
              </w:tc>
              <w:tc>
                <w:tcPr>
                  <w:tcW w:w="1856" w:type="dxa"/>
                  <w:vAlign w:val="center"/>
                </w:tcPr>
                <w:p>
                  <w:pPr>
                    <w:widowControl/>
                    <w:jc w:val="center"/>
                    <w:rPr>
                      <w:sz w:val="21"/>
                    </w:rPr>
                  </w:pPr>
                  <w:r>
                    <w:rPr>
                      <w:sz w:val="21"/>
                    </w:rPr>
                    <w:t>50</w:t>
                  </w:r>
                </w:p>
              </w:tc>
              <w:tc>
                <w:tcPr>
                  <w:tcW w:w="1720" w:type="dxa"/>
                  <w:tcBorders>
                    <w:right w:val="single" w:color="000000" w:sz="8" w:space="0"/>
                  </w:tcBorders>
                  <w:vAlign w:val="center"/>
                </w:tcPr>
                <w:p>
                  <w:pPr>
                    <w:jc w:val="center"/>
                    <w:rPr>
                      <w:sz w:val="21"/>
                      <w:szCs w:val="21"/>
                    </w:rPr>
                  </w:pPr>
                  <w:r>
                    <w:rPr>
                      <w:rFonts w:hint="eastAsia"/>
                      <w:sz w:val="21"/>
                      <w:szCs w:val="21"/>
                    </w:rPr>
                    <w:t>/</w:t>
                  </w:r>
                </w:p>
              </w:tc>
            </w:tr>
          </w:tbl>
          <w:p>
            <w:pPr>
              <w:adjustRightInd w:val="0"/>
              <w:snapToGrid w:val="0"/>
              <w:spacing w:beforeLines="50" w:line="360" w:lineRule="auto"/>
              <w:ind w:firstLine="482" w:firstLineChars="200"/>
              <w:rPr>
                <w:b/>
                <w:color w:val="FF0000"/>
                <w:szCs w:val="24"/>
              </w:rPr>
            </w:pPr>
            <w:r>
              <w:rPr>
                <w:rFonts w:hint="eastAsia"/>
                <w:b/>
                <w:color w:val="FF0000"/>
                <w:szCs w:val="24"/>
              </w:rPr>
              <w:t>4、地下水环境质量现状</w:t>
            </w:r>
          </w:p>
          <w:p>
            <w:pPr>
              <w:widowControl/>
              <w:adjustRightInd w:val="0"/>
              <w:snapToGrid w:val="0"/>
              <w:spacing w:line="360" w:lineRule="auto"/>
              <w:ind w:firstLine="480" w:firstLineChars="200"/>
              <w:jc w:val="left"/>
              <w:rPr>
                <w:color w:val="FF0000"/>
              </w:rPr>
            </w:pPr>
            <w:r>
              <w:rPr>
                <w:rFonts w:hint="eastAsia"/>
                <w:color w:val="FF0000"/>
                <w:szCs w:val="24"/>
              </w:rPr>
              <w:t>本项目位于洱源县境内，分布于</w:t>
            </w:r>
            <w:r>
              <w:rPr>
                <w:color w:val="FF0000"/>
                <w:szCs w:val="24"/>
              </w:rPr>
              <w:t>牛街乡、三营镇、茈碧湖镇、右所镇</w:t>
            </w:r>
            <w:r>
              <w:rPr>
                <w:rFonts w:hint="eastAsia"/>
                <w:color w:val="FF0000"/>
                <w:szCs w:val="24"/>
              </w:rPr>
              <w:t>、</w:t>
            </w:r>
            <w:r>
              <w:rPr>
                <w:color w:val="FF0000"/>
                <w:szCs w:val="24"/>
              </w:rPr>
              <w:t>邓川镇</w:t>
            </w:r>
            <w:r>
              <w:rPr>
                <w:rFonts w:hint="eastAsia"/>
                <w:color w:val="FF0000"/>
                <w:szCs w:val="24"/>
              </w:rPr>
              <w:t>和凤羽镇6</w:t>
            </w:r>
            <w:r>
              <w:rPr>
                <w:color w:val="FF0000"/>
                <w:szCs w:val="24"/>
              </w:rPr>
              <w:t>个乡镇行政区范围</w:t>
            </w:r>
            <w:r>
              <w:rPr>
                <w:rFonts w:hint="eastAsia"/>
                <w:color w:val="FF0000"/>
                <w:szCs w:val="24"/>
              </w:rPr>
              <w:t>，且属于农村地区，区域内没有较大的工业企业，各乡镇内的地下水环境质量差异不大。因此，</w:t>
            </w:r>
            <w:r>
              <w:rPr>
                <w:rFonts w:hint="eastAsia"/>
                <w:color w:val="FF0000"/>
              </w:rPr>
              <w:t>本项目地下水环境质量现状评价引用《洱源县弥苴河大楼桥沉砂池工程环境影响报告书》</w:t>
            </w:r>
            <w:r>
              <w:rPr>
                <w:rFonts w:hint="eastAsia"/>
                <w:color w:val="FF0000"/>
                <w:szCs w:val="24"/>
              </w:rPr>
              <w:t>中右所镇境内的监测数据</w:t>
            </w:r>
            <w:r>
              <w:rPr>
                <w:rFonts w:hint="eastAsia"/>
                <w:color w:val="FF0000"/>
              </w:rPr>
              <w:t>。</w:t>
            </w:r>
          </w:p>
          <w:p>
            <w:pPr>
              <w:tabs>
                <w:tab w:val="left" w:pos="360"/>
              </w:tabs>
              <w:adjustRightInd w:val="0"/>
              <w:snapToGrid w:val="0"/>
              <w:spacing w:line="360" w:lineRule="auto"/>
              <w:ind w:firstLine="480" w:firstLineChars="200"/>
              <w:rPr>
                <w:color w:val="FF0000"/>
                <w:szCs w:val="24"/>
              </w:rPr>
            </w:pPr>
            <w:r>
              <w:rPr>
                <w:color w:val="FF0000"/>
                <w:szCs w:val="24"/>
              </w:rPr>
              <w:t>201</w:t>
            </w:r>
            <w:r>
              <w:rPr>
                <w:rFonts w:hint="eastAsia"/>
                <w:color w:val="FF0000"/>
                <w:szCs w:val="24"/>
              </w:rPr>
              <w:t>9</w:t>
            </w:r>
            <w:r>
              <w:rPr>
                <w:color w:val="FF0000"/>
                <w:szCs w:val="24"/>
              </w:rPr>
              <w:t>年</w:t>
            </w:r>
            <w:r>
              <w:rPr>
                <w:rFonts w:hint="eastAsia"/>
                <w:color w:val="FF0000"/>
                <w:szCs w:val="24"/>
              </w:rPr>
              <w:t>10</w:t>
            </w:r>
            <w:r>
              <w:rPr>
                <w:color w:val="FF0000"/>
                <w:szCs w:val="24"/>
              </w:rPr>
              <w:t>月</w:t>
            </w:r>
            <w:r>
              <w:rPr>
                <w:rFonts w:hint="eastAsia"/>
                <w:color w:val="FF0000"/>
                <w:szCs w:val="24"/>
              </w:rPr>
              <w:t>7</w:t>
            </w:r>
            <w:r>
              <w:rPr>
                <w:color w:val="FF0000"/>
                <w:szCs w:val="24"/>
              </w:rPr>
              <w:t>日~201</w:t>
            </w:r>
            <w:r>
              <w:rPr>
                <w:rFonts w:hint="eastAsia"/>
                <w:color w:val="FF0000"/>
                <w:szCs w:val="24"/>
              </w:rPr>
              <w:t>9</w:t>
            </w:r>
            <w:r>
              <w:rPr>
                <w:color w:val="FF0000"/>
                <w:szCs w:val="24"/>
              </w:rPr>
              <w:t>年</w:t>
            </w:r>
            <w:r>
              <w:rPr>
                <w:rFonts w:hint="eastAsia"/>
                <w:color w:val="FF0000"/>
                <w:szCs w:val="24"/>
              </w:rPr>
              <w:t>10</w:t>
            </w:r>
            <w:r>
              <w:rPr>
                <w:color w:val="FF0000"/>
                <w:szCs w:val="24"/>
              </w:rPr>
              <w:t>月</w:t>
            </w:r>
            <w:r>
              <w:rPr>
                <w:rFonts w:hint="eastAsia"/>
                <w:color w:val="FF0000"/>
                <w:szCs w:val="24"/>
              </w:rPr>
              <w:t>11</w:t>
            </w:r>
            <w:r>
              <w:rPr>
                <w:color w:val="FF0000"/>
                <w:szCs w:val="24"/>
              </w:rPr>
              <w:t>日，</w:t>
            </w:r>
            <w:r>
              <w:rPr>
                <w:rFonts w:hint="eastAsia"/>
                <w:color w:val="FF0000"/>
                <w:szCs w:val="24"/>
              </w:rPr>
              <w:t>《</w:t>
            </w:r>
            <w:r>
              <w:rPr>
                <w:rFonts w:hint="eastAsia"/>
                <w:color w:val="FF0000"/>
              </w:rPr>
              <w:t>洱源县弥苴河大楼桥沉砂池工程</w:t>
            </w:r>
            <w:r>
              <w:rPr>
                <w:rFonts w:hint="eastAsia"/>
                <w:color w:val="FF0000"/>
                <w:szCs w:val="24"/>
              </w:rPr>
              <w:t>》对其项目区域内</w:t>
            </w:r>
            <w:r>
              <w:rPr>
                <w:color w:val="FF0000"/>
                <w:kern w:val="0"/>
                <w:szCs w:val="24"/>
              </w:rPr>
              <w:t>Q1</w:t>
            </w:r>
            <w:r>
              <w:rPr>
                <w:rFonts w:hint="eastAsia" w:ascii="宋体" w:hAnsi="宋体" w:cs="宋体"/>
                <w:color w:val="FF0000"/>
                <w:kern w:val="0"/>
                <w:szCs w:val="24"/>
              </w:rPr>
              <w:t>普陀泉、</w:t>
            </w:r>
            <w:r>
              <w:rPr>
                <w:color w:val="FF0000"/>
                <w:kern w:val="0"/>
                <w:szCs w:val="24"/>
              </w:rPr>
              <w:t>Q2</w:t>
            </w:r>
            <w:r>
              <w:rPr>
                <w:rFonts w:hint="eastAsia" w:ascii="宋体" w:hAnsi="宋体" w:cs="宋体"/>
                <w:color w:val="FF0000"/>
                <w:kern w:val="0"/>
                <w:szCs w:val="24"/>
              </w:rPr>
              <w:t>大楼桥地下水、</w:t>
            </w:r>
            <w:r>
              <w:rPr>
                <w:color w:val="FF0000"/>
                <w:kern w:val="0"/>
                <w:szCs w:val="24"/>
              </w:rPr>
              <w:t>Q3</w:t>
            </w:r>
            <w:r>
              <w:rPr>
                <w:rFonts w:hint="eastAsia" w:ascii="宋体" w:hAnsi="宋体" w:cs="宋体"/>
                <w:color w:val="FF0000"/>
                <w:kern w:val="0"/>
                <w:szCs w:val="24"/>
              </w:rPr>
              <w:t>东中所</w:t>
            </w:r>
            <w:r>
              <w:rPr>
                <w:rFonts w:hint="eastAsia"/>
                <w:color w:val="FF0000"/>
                <w:szCs w:val="24"/>
              </w:rPr>
              <w:t>的</w:t>
            </w:r>
            <w:r>
              <w:rPr>
                <w:rFonts w:hint="eastAsia" w:ascii="宋体" w:hAnsi="宋体" w:cs="宋体"/>
                <w:color w:val="FF0000"/>
                <w:kern w:val="0"/>
                <w:szCs w:val="24"/>
              </w:rPr>
              <w:t>地下水</w:t>
            </w:r>
            <w:r>
              <w:rPr>
                <w:rFonts w:hint="eastAsia"/>
                <w:color w:val="FF0000"/>
                <w:szCs w:val="24"/>
              </w:rPr>
              <w:t>进行了现状监测。</w:t>
            </w:r>
          </w:p>
          <w:p>
            <w:pPr>
              <w:spacing w:line="372" w:lineRule="auto"/>
              <w:jc w:val="center"/>
              <w:rPr>
                <w:b/>
                <w:sz w:val="21"/>
              </w:rPr>
            </w:pPr>
            <w:r>
              <w:rPr>
                <w:rFonts w:hint="eastAsia"/>
                <w:b/>
                <w:sz w:val="21"/>
              </w:rPr>
              <w:t>表3-4 项目区域内的地下水评价结果一览表 单位：mg/L</w:t>
            </w:r>
          </w:p>
          <w:tbl>
            <w:tblPr>
              <w:tblStyle w:val="37"/>
              <w:tblpPr w:leftFromText="180" w:rightFromText="180" w:vertAnchor="text" w:horzAnchor="page" w:tblpXSpec="center" w:tblpY="1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1394"/>
              <w:gridCol w:w="1063"/>
              <w:gridCol w:w="1697"/>
              <w:gridCol w:w="1285"/>
              <w:gridCol w:w="834"/>
              <w:gridCol w:w="9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568" w:type="dxa"/>
                  <w:vMerge w:val="restart"/>
                  <w:vAlign w:val="center"/>
                </w:tcPr>
                <w:p>
                  <w:pPr>
                    <w:widowControl/>
                    <w:jc w:val="center"/>
                    <w:rPr>
                      <w:b/>
                      <w:bCs/>
                      <w:sz w:val="21"/>
                    </w:rPr>
                  </w:pPr>
                  <w:r>
                    <w:rPr>
                      <w:b/>
                      <w:bCs/>
                      <w:sz w:val="21"/>
                    </w:rPr>
                    <w:t>序号</w:t>
                  </w:r>
                </w:p>
              </w:tc>
              <w:tc>
                <w:tcPr>
                  <w:tcW w:w="1394" w:type="dxa"/>
                  <w:vMerge w:val="restart"/>
                  <w:vAlign w:val="center"/>
                </w:tcPr>
                <w:p>
                  <w:pPr>
                    <w:widowControl/>
                    <w:jc w:val="center"/>
                    <w:rPr>
                      <w:b/>
                      <w:bCs/>
                      <w:sz w:val="21"/>
                    </w:rPr>
                  </w:pPr>
                </w:p>
                <w:p>
                  <w:pPr>
                    <w:widowControl/>
                    <w:jc w:val="center"/>
                    <w:rPr>
                      <w:b/>
                      <w:bCs/>
                      <w:sz w:val="21"/>
                    </w:rPr>
                  </w:pPr>
                  <w:r>
                    <w:rPr>
                      <w:b/>
                      <w:bCs/>
                      <w:sz w:val="21"/>
                    </w:rPr>
                    <w:t>检测项目</w:t>
                  </w:r>
                </w:p>
              </w:tc>
              <w:tc>
                <w:tcPr>
                  <w:tcW w:w="4045" w:type="dxa"/>
                  <w:gridSpan w:val="3"/>
                  <w:vAlign w:val="center"/>
                </w:tcPr>
                <w:p>
                  <w:pPr>
                    <w:widowControl/>
                    <w:jc w:val="center"/>
                    <w:rPr>
                      <w:b/>
                      <w:bCs/>
                      <w:sz w:val="21"/>
                    </w:rPr>
                  </w:pPr>
                  <w:r>
                    <w:rPr>
                      <w:b/>
                      <w:bCs/>
                      <w:sz w:val="21"/>
                    </w:rPr>
                    <w:t>监测点位</w:t>
                  </w:r>
                </w:p>
              </w:tc>
              <w:tc>
                <w:tcPr>
                  <w:tcW w:w="834" w:type="dxa"/>
                  <w:vMerge w:val="restart"/>
                  <w:vAlign w:val="center"/>
                </w:tcPr>
                <w:p>
                  <w:pPr>
                    <w:widowControl/>
                    <w:jc w:val="center"/>
                    <w:rPr>
                      <w:b/>
                      <w:bCs/>
                      <w:sz w:val="21"/>
                    </w:rPr>
                  </w:pPr>
                  <w:r>
                    <w:rPr>
                      <w:b/>
                      <w:bCs/>
                      <w:sz w:val="21"/>
                    </w:rPr>
                    <w:t>标准值</w:t>
                  </w:r>
                </w:p>
              </w:tc>
              <w:tc>
                <w:tcPr>
                  <w:tcW w:w="976" w:type="dxa"/>
                  <w:vMerge w:val="restart"/>
                  <w:vAlign w:val="center"/>
                </w:tcPr>
                <w:p>
                  <w:pPr>
                    <w:widowControl/>
                    <w:jc w:val="center"/>
                    <w:rPr>
                      <w:b/>
                      <w:bCs/>
                      <w:sz w:val="21"/>
                    </w:rPr>
                  </w:pPr>
                  <w:r>
                    <w:rPr>
                      <w:b/>
                      <w:bCs/>
                      <w:sz w:val="21"/>
                    </w:rPr>
                    <w:t>标准指数</w:t>
                  </w:r>
                </w:p>
              </w:tc>
              <w:tc>
                <w:tcPr>
                  <w:tcW w:w="992" w:type="dxa"/>
                  <w:vMerge w:val="restart"/>
                  <w:vAlign w:val="center"/>
                </w:tcPr>
                <w:p>
                  <w:pPr>
                    <w:widowControl/>
                    <w:jc w:val="center"/>
                    <w:rPr>
                      <w:b/>
                      <w:bCs/>
                      <w:sz w:val="21"/>
                    </w:rPr>
                  </w:pPr>
                  <w:r>
                    <w:rPr>
                      <w:b/>
                      <w:bCs/>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568" w:type="dxa"/>
                  <w:vMerge w:val="continue"/>
                  <w:vAlign w:val="center"/>
                </w:tcPr>
                <w:p>
                  <w:pPr>
                    <w:widowControl/>
                    <w:jc w:val="center"/>
                    <w:rPr>
                      <w:b/>
                      <w:bCs/>
                      <w:sz w:val="21"/>
                    </w:rPr>
                  </w:pPr>
                </w:p>
              </w:tc>
              <w:tc>
                <w:tcPr>
                  <w:tcW w:w="1394" w:type="dxa"/>
                  <w:vMerge w:val="continue"/>
                  <w:vAlign w:val="center"/>
                </w:tcPr>
                <w:p>
                  <w:pPr>
                    <w:widowControl/>
                    <w:jc w:val="center"/>
                    <w:rPr>
                      <w:b/>
                      <w:bCs/>
                      <w:sz w:val="21"/>
                    </w:rPr>
                  </w:pPr>
                </w:p>
              </w:tc>
              <w:tc>
                <w:tcPr>
                  <w:tcW w:w="1063" w:type="dxa"/>
                  <w:vAlign w:val="center"/>
                </w:tcPr>
                <w:p>
                  <w:pPr>
                    <w:widowControl/>
                    <w:jc w:val="center"/>
                    <w:rPr>
                      <w:b/>
                      <w:bCs/>
                      <w:sz w:val="21"/>
                    </w:rPr>
                  </w:pPr>
                  <w:r>
                    <w:rPr>
                      <w:b/>
                      <w:bCs/>
                      <w:sz w:val="21"/>
                    </w:rPr>
                    <w:t xml:space="preserve">Q1 </w:t>
                  </w:r>
                  <w:r>
                    <w:rPr>
                      <w:rFonts w:hint="eastAsia"/>
                      <w:b/>
                      <w:bCs/>
                      <w:sz w:val="21"/>
                    </w:rPr>
                    <w:t>普陀泉</w:t>
                  </w:r>
                </w:p>
              </w:tc>
              <w:tc>
                <w:tcPr>
                  <w:tcW w:w="1697" w:type="dxa"/>
                  <w:vAlign w:val="center"/>
                </w:tcPr>
                <w:p>
                  <w:pPr>
                    <w:widowControl/>
                    <w:jc w:val="center"/>
                    <w:rPr>
                      <w:b/>
                      <w:bCs/>
                      <w:sz w:val="21"/>
                    </w:rPr>
                  </w:pPr>
                  <w:r>
                    <w:rPr>
                      <w:b/>
                      <w:bCs/>
                      <w:sz w:val="21"/>
                    </w:rPr>
                    <w:t xml:space="preserve">Q2 </w:t>
                  </w:r>
                  <w:r>
                    <w:rPr>
                      <w:rFonts w:hint="eastAsia"/>
                      <w:b/>
                      <w:bCs/>
                      <w:sz w:val="21"/>
                    </w:rPr>
                    <w:t>大楼桥地下水</w:t>
                  </w:r>
                </w:p>
              </w:tc>
              <w:tc>
                <w:tcPr>
                  <w:tcW w:w="1285" w:type="dxa"/>
                  <w:vAlign w:val="center"/>
                </w:tcPr>
                <w:p>
                  <w:pPr>
                    <w:widowControl/>
                    <w:jc w:val="center"/>
                    <w:rPr>
                      <w:b/>
                      <w:bCs/>
                      <w:sz w:val="21"/>
                    </w:rPr>
                  </w:pPr>
                  <w:r>
                    <w:rPr>
                      <w:b/>
                      <w:bCs/>
                      <w:sz w:val="21"/>
                    </w:rPr>
                    <w:t xml:space="preserve">Q3 </w:t>
                  </w:r>
                  <w:r>
                    <w:rPr>
                      <w:rFonts w:hint="eastAsia"/>
                      <w:b/>
                      <w:bCs/>
                      <w:sz w:val="21"/>
                    </w:rPr>
                    <w:t>东中所</w:t>
                  </w:r>
                </w:p>
              </w:tc>
              <w:tc>
                <w:tcPr>
                  <w:tcW w:w="834" w:type="dxa"/>
                  <w:vMerge w:val="continue"/>
                  <w:vAlign w:val="center"/>
                </w:tcPr>
                <w:p>
                  <w:pPr>
                    <w:widowControl/>
                    <w:jc w:val="center"/>
                    <w:rPr>
                      <w:b/>
                      <w:bCs/>
                      <w:sz w:val="21"/>
                    </w:rPr>
                  </w:pPr>
                </w:p>
              </w:tc>
              <w:tc>
                <w:tcPr>
                  <w:tcW w:w="976" w:type="dxa"/>
                  <w:vMerge w:val="continue"/>
                  <w:vAlign w:val="center"/>
                </w:tcPr>
                <w:p>
                  <w:pPr>
                    <w:widowControl/>
                    <w:jc w:val="center"/>
                    <w:rPr>
                      <w:b/>
                      <w:bCs/>
                      <w:sz w:val="21"/>
                    </w:rPr>
                  </w:pPr>
                </w:p>
              </w:tc>
              <w:tc>
                <w:tcPr>
                  <w:tcW w:w="992" w:type="dxa"/>
                  <w:vMerge w:val="continue"/>
                  <w:vAlign w:val="center"/>
                </w:tcPr>
                <w:p>
                  <w:pPr>
                    <w:widowControl/>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68" w:type="dxa"/>
                  <w:vAlign w:val="center"/>
                </w:tcPr>
                <w:p>
                  <w:pPr>
                    <w:widowControl/>
                    <w:jc w:val="center"/>
                    <w:rPr>
                      <w:sz w:val="21"/>
                    </w:rPr>
                  </w:pPr>
                  <w:r>
                    <w:rPr>
                      <w:sz w:val="21"/>
                    </w:rPr>
                    <w:t>1</w:t>
                  </w:r>
                </w:p>
              </w:tc>
              <w:tc>
                <w:tcPr>
                  <w:tcW w:w="1394" w:type="dxa"/>
                  <w:vAlign w:val="center"/>
                </w:tcPr>
                <w:p>
                  <w:pPr>
                    <w:widowControl/>
                    <w:jc w:val="center"/>
                    <w:rPr>
                      <w:sz w:val="21"/>
                    </w:rPr>
                  </w:pPr>
                  <w:r>
                    <w:rPr>
                      <w:sz w:val="21"/>
                    </w:rPr>
                    <w:t>pH</w:t>
                  </w:r>
                </w:p>
              </w:tc>
              <w:tc>
                <w:tcPr>
                  <w:tcW w:w="1063" w:type="dxa"/>
                  <w:vAlign w:val="center"/>
                </w:tcPr>
                <w:p>
                  <w:pPr>
                    <w:widowControl/>
                    <w:jc w:val="center"/>
                    <w:rPr>
                      <w:sz w:val="21"/>
                    </w:rPr>
                  </w:pPr>
                  <w:r>
                    <w:rPr>
                      <w:sz w:val="21"/>
                    </w:rPr>
                    <w:t>8.22</w:t>
                  </w:r>
                </w:p>
              </w:tc>
              <w:tc>
                <w:tcPr>
                  <w:tcW w:w="1697" w:type="dxa"/>
                  <w:vAlign w:val="center"/>
                </w:tcPr>
                <w:p>
                  <w:pPr>
                    <w:widowControl/>
                    <w:jc w:val="center"/>
                    <w:rPr>
                      <w:sz w:val="21"/>
                    </w:rPr>
                  </w:pPr>
                  <w:r>
                    <w:rPr>
                      <w:sz w:val="21"/>
                    </w:rPr>
                    <w:t>7.51</w:t>
                  </w:r>
                </w:p>
              </w:tc>
              <w:tc>
                <w:tcPr>
                  <w:tcW w:w="1285" w:type="dxa"/>
                  <w:vAlign w:val="center"/>
                </w:tcPr>
                <w:p>
                  <w:pPr>
                    <w:widowControl/>
                    <w:jc w:val="center"/>
                    <w:rPr>
                      <w:sz w:val="21"/>
                    </w:rPr>
                  </w:pPr>
                  <w:r>
                    <w:rPr>
                      <w:sz w:val="21"/>
                    </w:rPr>
                    <w:t>7.92</w:t>
                  </w:r>
                </w:p>
              </w:tc>
              <w:tc>
                <w:tcPr>
                  <w:tcW w:w="834" w:type="dxa"/>
                  <w:vAlign w:val="center"/>
                </w:tcPr>
                <w:p>
                  <w:pPr>
                    <w:widowControl/>
                    <w:jc w:val="center"/>
                    <w:rPr>
                      <w:sz w:val="21"/>
                    </w:rPr>
                  </w:pPr>
                  <w:r>
                    <w:rPr>
                      <w:sz w:val="21"/>
                    </w:rPr>
                    <w:t>6.5~8.5</w:t>
                  </w:r>
                </w:p>
              </w:tc>
              <w:tc>
                <w:tcPr>
                  <w:tcW w:w="976" w:type="dxa"/>
                  <w:vAlign w:val="center"/>
                </w:tcPr>
                <w:p>
                  <w:pPr>
                    <w:widowControl/>
                    <w:jc w:val="center"/>
                    <w:rPr>
                      <w:sz w:val="21"/>
                    </w:rPr>
                  </w:pPr>
                  <w:r>
                    <w:rPr>
                      <w:sz w:val="21"/>
                    </w:rPr>
                    <w:t>0.83</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2</w:t>
                  </w:r>
                </w:p>
              </w:tc>
              <w:tc>
                <w:tcPr>
                  <w:tcW w:w="1394" w:type="dxa"/>
                  <w:vAlign w:val="center"/>
                </w:tcPr>
                <w:p>
                  <w:pPr>
                    <w:widowControl/>
                    <w:jc w:val="center"/>
                    <w:rPr>
                      <w:sz w:val="21"/>
                    </w:rPr>
                  </w:pPr>
                  <w:r>
                    <w:rPr>
                      <w:sz w:val="21"/>
                    </w:rPr>
                    <w:t>氰化物</w:t>
                  </w:r>
                </w:p>
              </w:tc>
              <w:tc>
                <w:tcPr>
                  <w:tcW w:w="1063" w:type="dxa"/>
                  <w:vAlign w:val="center"/>
                </w:tcPr>
                <w:p>
                  <w:pPr>
                    <w:widowControl/>
                    <w:jc w:val="center"/>
                    <w:rPr>
                      <w:sz w:val="21"/>
                    </w:rPr>
                  </w:pPr>
                  <w:r>
                    <w:rPr>
                      <w:sz w:val="21"/>
                    </w:rPr>
                    <w:t>0.004L</w:t>
                  </w:r>
                </w:p>
              </w:tc>
              <w:tc>
                <w:tcPr>
                  <w:tcW w:w="1697" w:type="dxa"/>
                  <w:vAlign w:val="center"/>
                </w:tcPr>
                <w:p>
                  <w:pPr>
                    <w:widowControl/>
                    <w:jc w:val="center"/>
                    <w:rPr>
                      <w:sz w:val="21"/>
                    </w:rPr>
                  </w:pPr>
                  <w:r>
                    <w:rPr>
                      <w:sz w:val="21"/>
                    </w:rPr>
                    <w:t>0.004L</w:t>
                  </w:r>
                </w:p>
              </w:tc>
              <w:tc>
                <w:tcPr>
                  <w:tcW w:w="1285" w:type="dxa"/>
                  <w:vAlign w:val="center"/>
                </w:tcPr>
                <w:p>
                  <w:pPr>
                    <w:widowControl/>
                    <w:jc w:val="center"/>
                    <w:rPr>
                      <w:sz w:val="21"/>
                    </w:rPr>
                  </w:pPr>
                  <w:r>
                    <w:rPr>
                      <w:sz w:val="21"/>
                    </w:rPr>
                    <w:t>0.004L</w:t>
                  </w:r>
                </w:p>
              </w:tc>
              <w:tc>
                <w:tcPr>
                  <w:tcW w:w="834" w:type="dxa"/>
                  <w:vAlign w:val="center"/>
                </w:tcPr>
                <w:p>
                  <w:pPr>
                    <w:widowControl/>
                    <w:jc w:val="center"/>
                    <w:rPr>
                      <w:sz w:val="21"/>
                    </w:rPr>
                  </w:pPr>
                  <w:r>
                    <w:rPr>
                      <w:sz w:val="21"/>
                    </w:rPr>
                    <w:t>0.05</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68" w:type="dxa"/>
                  <w:vAlign w:val="center"/>
                </w:tcPr>
                <w:p>
                  <w:pPr>
                    <w:widowControl/>
                    <w:jc w:val="center"/>
                    <w:rPr>
                      <w:sz w:val="21"/>
                    </w:rPr>
                  </w:pPr>
                  <w:r>
                    <w:rPr>
                      <w:sz w:val="21"/>
                    </w:rPr>
                    <w:t>3</w:t>
                  </w:r>
                </w:p>
              </w:tc>
              <w:tc>
                <w:tcPr>
                  <w:tcW w:w="1394" w:type="dxa"/>
                  <w:vAlign w:val="center"/>
                </w:tcPr>
                <w:p>
                  <w:pPr>
                    <w:widowControl/>
                    <w:jc w:val="center"/>
                    <w:rPr>
                      <w:sz w:val="21"/>
                    </w:rPr>
                  </w:pPr>
                  <w:r>
                    <w:rPr>
                      <w:sz w:val="21"/>
                    </w:rPr>
                    <w:t>氟化物</w:t>
                  </w:r>
                </w:p>
              </w:tc>
              <w:tc>
                <w:tcPr>
                  <w:tcW w:w="1063" w:type="dxa"/>
                  <w:vAlign w:val="center"/>
                </w:tcPr>
                <w:p>
                  <w:pPr>
                    <w:widowControl/>
                    <w:jc w:val="center"/>
                    <w:rPr>
                      <w:sz w:val="21"/>
                    </w:rPr>
                  </w:pPr>
                  <w:r>
                    <w:rPr>
                      <w:sz w:val="21"/>
                    </w:rPr>
                    <w:t>0.57</w:t>
                  </w:r>
                </w:p>
              </w:tc>
              <w:tc>
                <w:tcPr>
                  <w:tcW w:w="1697" w:type="dxa"/>
                  <w:vAlign w:val="center"/>
                </w:tcPr>
                <w:p>
                  <w:pPr>
                    <w:widowControl/>
                    <w:jc w:val="center"/>
                    <w:rPr>
                      <w:sz w:val="21"/>
                    </w:rPr>
                  </w:pPr>
                  <w:r>
                    <w:rPr>
                      <w:sz w:val="21"/>
                    </w:rPr>
                    <w:t>0.13</w:t>
                  </w:r>
                </w:p>
              </w:tc>
              <w:tc>
                <w:tcPr>
                  <w:tcW w:w="1285" w:type="dxa"/>
                  <w:vAlign w:val="center"/>
                </w:tcPr>
                <w:p>
                  <w:pPr>
                    <w:widowControl/>
                    <w:jc w:val="center"/>
                    <w:rPr>
                      <w:sz w:val="21"/>
                    </w:rPr>
                  </w:pPr>
                  <w:r>
                    <w:rPr>
                      <w:sz w:val="21"/>
                    </w:rPr>
                    <w:t>0.15</w:t>
                  </w:r>
                </w:p>
              </w:tc>
              <w:tc>
                <w:tcPr>
                  <w:tcW w:w="834" w:type="dxa"/>
                  <w:vAlign w:val="center"/>
                </w:tcPr>
                <w:p>
                  <w:pPr>
                    <w:widowControl/>
                    <w:jc w:val="center"/>
                    <w:rPr>
                      <w:sz w:val="21"/>
                    </w:rPr>
                  </w:pPr>
                  <w:r>
                    <w:rPr>
                      <w:sz w:val="21"/>
                    </w:rPr>
                    <w:t>1</w:t>
                  </w:r>
                </w:p>
              </w:tc>
              <w:tc>
                <w:tcPr>
                  <w:tcW w:w="976" w:type="dxa"/>
                  <w:vAlign w:val="center"/>
                </w:tcPr>
                <w:p>
                  <w:pPr>
                    <w:widowControl/>
                    <w:jc w:val="center"/>
                    <w:rPr>
                      <w:sz w:val="21"/>
                    </w:rPr>
                  </w:pPr>
                  <w:r>
                    <w:rPr>
                      <w:sz w:val="21"/>
                    </w:rPr>
                    <w:t>0.57</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68" w:type="dxa"/>
                  <w:vAlign w:val="center"/>
                </w:tcPr>
                <w:p>
                  <w:pPr>
                    <w:widowControl/>
                    <w:jc w:val="center"/>
                    <w:rPr>
                      <w:sz w:val="21"/>
                    </w:rPr>
                  </w:pPr>
                  <w:r>
                    <w:rPr>
                      <w:sz w:val="21"/>
                    </w:rPr>
                    <w:t>4</w:t>
                  </w:r>
                </w:p>
              </w:tc>
              <w:tc>
                <w:tcPr>
                  <w:tcW w:w="1394" w:type="dxa"/>
                  <w:vAlign w:val="center"/>
                </w:tcPr>
                <w:p>
                  <w:pPr>
                    <w:widowControl/>
                    <w:jc w:val="center"/>
                    <w:rPr>
                      <w:sz w:val="21"/>
                    </w:rPr>
                  </w:pPr>
                  <w:r>
                    <w:rPr>
                      <w:sz w:val="21"/>
                    </w:rPr>
                    <w:t>氯化物</w:t>
                  </w:r>
                </w:p>
              </w:tc>
              <w:tc>
                <w:tcPr>
                  <w:tcW w:w="1063" w:type="dxa"/>
                  <w:vAlign w:val="center"/>
                </w:tcPr>
                <w:p>
                  <w:pPr>
                    <w:widowControl/>
                    <w:jc w:val="center"/>
                    <w:rPr>
                      <w:sz w:val="21"/>
                    </w:rPr>
                  </w:pPr>
                  <w:r>
                    <w:rPr>
                      <w:sz w:val="21"/>
                    </w:rPr>
                    <w:t>21.10</w:t>
                  </w:r>
                </w:p>
              </w:tc>
              <w:tc>
                <w:tcPr>
                  <w:tcW w:w="1697" w:type="dxa"/>
                  <w:vAlign w:val="center"/>
                </w:tcPr>
                <w:p>
                  <w:pPr>
                    <w:widowControl/>
                    <w:jc w:val="center"/>
                    <w:rPr>
                      <w:sz w:val="21"/>
                    </w:rPr>
                  </w:pPr>
                  <w:r>
                    <w:rPr>
                      <w:sz w:val="21"/>
                    </w:rPr>
                    <w:t>22.90</w:t>
                  </w:r>
                </w:p>
              </w:tc>
              <w:tc>
                <w:tcPr>
                  <w:tcW w:w="1285" w:type="dxa"/>
                  <w:vAlign w:val="center"/>
                </w:tcPr>
                <w:p>
                  <w:pPr>
                    <w:widowControl/>
                    <w:jc w:val="center"/>
                    <w:rPr>
                      <w:sz w:val="21"/>
                    </w:rPr>
                  </w:pPr>
                  <w:r>
                    <w:rPr>
                      <w:sz w:val="21"/>
                    </w:rPr>
                    <w:t>40.10</w:t>
                  </w:r>
                </w:p>
              </w:tc>
              <w:tc>
                <w:tcPr>
                  <w:tcW w:w="834" w:type="dxa"/>
                  <w:vAlign w:val="center"/>
                </w:tcPr>
                <w:p>
                  <w:pPr>
                    <w:widowControl/>
                    <w:jc w:val="center"/>
                    <w:rPr>
                      <w:sz w:val="21"/>
                    </w:rPr>
                  </w:pPr>
                  <w:r>
                    <w:rPr>
                      <w:sz w:val="21"/>
                    </w:rPr>
                    <w:t>250</w:t>
                  </w:r>
                </w:p>
              </w:tc>
              <w:tc>
                <w:tcPr>
                  <w:tcW w:w="976" w:type="dxa"/>
                  <w:vAlign w:val="center"/>
                </w:tcPr>
                <w:p>
                  <w:pPr>
                    <w:widowControl/>
                    <w:jc w:val="center"/>
                    <w:rPr>
                      <w:sz w:val="21"/>
                    </w:rPr>
                  </w:pPr>
                  <w:r>
                    <w:rPr>
                      <w:sz w:val="21"/>
                    </w:rPr>
                    <w:t>0.09</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568" w:type="dxa"/>
                  <w:vAlign w:val="center"/>
                </w:tcPr>
                <w:p>
                  <w:pPr>
                    <w:widowControl/>
                    <w:jc w:val="center"/>
                    <w:rPr>
                      <w:sz w:val="21"/>
                    </w:rPr>
                  </w:pPr>
                  <w:r>
                    <w:rPr>
                      <w:sz w:val="21"/>
                    </w:rPr>
                    <w:t>5</w:t>
                  </w:r>
                </w:p>
              </w:tc>
              <w:tc>
                <w:tcPr>
                  <w:tcW w:w="1394" w:type="dxa"/>
                  <w:vAlign w:val="center"/>
                </w:tcPr>
                <w:p>
                  <w:pPr>
                    <w:widowControl/>
                    <w:jc w:val="center"/>
                    <w:rPr>
                      <w:sz w:val="21"/>
                    </w:rPr>
                  </w:pPr>
                  <w:r>
                    <w:rPr>
                      <w:sz w:val="21"/>
                    </w:rPr>
                    <w:t>高锰酸盐指数</w:t>
                  </w:r>
                </w:p>
              </w:tc>
              <w:tc>
                <w:tcPr>
                  <w:tcW w:w="1063" w:type="dxa"/>
                  <w:vAlign w:val="center"/>
                </w:tcPr>
                <w:p>
                  <w:pPr>
                    <w:widowControl/>
                    <w:jc w:val="center"/>
                    <w:rPr>
                      <w:sz w:val="21"/>
                    </w:rPr>
                  </w:pPr>
                  <w:r>
                    <w:rPr>
                      <w:sz w:val="21"/>
                    </w:rPr>
                    <w:t>0.80</w:t>
                  </w:r>
                </w:p>
              </w:tc>
              <w:tc>
                <w:tcPr>
                  <w:tcW w:w="1697" w:type="dxa"/>
                  <w:vAlign w:val="center"/>
                </w:tcPr>
                <w:p>
                  <w:pPr>
                    <w:widowControl/>
                    <w:jc w:val="center"/>
                    <w:rPr>
                      <w:sz w:val="21"/>
                    </w:rPr>
                  </w:pPr>
                  <w:r>
                    <w:rPr>
                      <w:sz w:val="21"/>
                    </w:rPr>
                    <w:t>1.07</w:t>
                  </w:r>
                </w:p>
              </w:tc>
              <w:tc>
                <w:tcPr>
                  <w:tcW w:w="1285" w:type="dxa"/>
                  <w:vAlign w:val="center"/>
                </w:tcPr>
                <w:p>
                  <w:pPr>
                    <w:widowControl/>
                    <w:jc w:val="center"/>
                    <w:rPr>
                      <w:sz w:val="21"/>
                    </w:rPr>
                  </w:pPr>
                  <w:r>
                    <w:rPr>
                      <w:sz w:val="21"/>
                    </w:rPr>
                    <w:t>2.53</w:t>
                  </w:r>
                </w:p>
              </w:tc>
              <w:tc>
                <w:tcPr>
                  <w:tcW w:w="834" w:type="dxa"/>
                  <w:vAlign w:val="center"/>
                </w:tcPr>
                <w:p>
                  <w:pPr>
                    <w:widowControl/>
                    <w:jc w:val="center"/>
                    <w:rPr>
                      <w:sz w:val="21"/>
                    </w:rPr>
                  </w:pPr>
                  <w:r>
                    <w:rPr>
                      <w:sz w:val="21"/>
                    </w:rPr>
                    <w:t>3</w:t>
                  </w:r>
                </w:p>
              </w:tc>
              <w:tc>
                <w:tcPr>
                  <w:tcW w:w="976" w:type="dxa"/>
                  <w:vAlign w:val="center"/>
                </w:tcPr>
                <w:p>
                  <w:pPr>
                    <w:widowControl/>
                    <w:jc w:val="center"/>
                    <w:rPr>
                      <w:sz w:val="21"/>
                    </w:rPr>
                  </w:pPr>
                  <w:r>
                    <w:rPr>
                      <w:sz w:val="21"/>
                    </w:rPr>
                    <w:t>0.27</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68" w:type="dxa"/>
                  <w:vAlign w:val="center"/>
                </w:tcPr>
                <w:p>
                  <w:pPr>
                    <w:widowControl/>
                    <w:jc w:val="center"/>
                    <w:rPr>
                      <w:sz w:val="21"/>
                    </w:rPr>
                  </w:pPr>
                  <w:r>
                    <w:rPr>
                      <w:sz w:val="21"/>
                    </w:rPr>
                    <w:t>6</w:t>
                  </w:r>
                </w:p>
              </w:tc>
              <w:tc>
                <w:tcPr>
                  <w:tcW w:w="1394" w:type="dxa"/>
                  <w:vAlign w:val="center"/>
                </w:tcPr>
                <w:p>
                  <w:pPr>
                    <w:widowControl/>
                    <w:jc w:val="center"/>
                    <w:rPr>
                      <w:sz w:val="21"/>
                    </w:rPr>
                  </w:pPr>
                  <w:r>
                    <w:rPr>
                      <w:sz w:val="21"/>
                    </w:rPr>
                    <w:t>溶解性总固体</w:t>
                  </w:r>
                </w:p>
              </w:tc>
              <w:tc>
                <w:tcPr>
                  <w:tcW w:w="1063" w:type="dxa"/>
                  <w:vAlign w:val="center"/>
                </w:tcPr>
                <w:p>
                  <w:pPr>
                    <w:widowControl/>
                    <w:jc w:val="center"/>
                    <w:rPr>
                      <w:sz w:val="21"/>
                    </w:rPr>
                  </w:pPr>
                  <w:r>
                    <w:rPr>
                      <w:sz w:val="21"/>
                    </w:rPr>
                    <w:t>476.33</w:t>
                  </w:r>
                </w:p>
              </w:tc>
              <w:tc>
                <w:tcPr>
                  <w:tcW w:w="1697" w:type="dxa"/>
                  <w:vAlign w:val="center"/>
                </w:tcPr>
                <w:p>
                  <w:pPr>
                    <w:widowControl/>
                    <w:jc w:val="center"/>
                    <w:rPr>
                      <w:sz w:val="21"/>
                    </w:rPr>
                  </w:pPr>
                  <w:r>
                    <w:rPr>
                      <w:sz w:val="21"/>
                    </w:rPr>
                    <w:t>433.67</w:t>
                  </w:r>
                </w:p>
              </w:tc>
              <w:tc>
                <w:tcPr>
                  <w:tcW w:w="1285" w:type="dxa"/>
                  <w:vAlign w:val="center"/>
                </w:tcPr>
                <w:p>
                  <w:pPr>
                    <w:widowControl/>
                    <w:jc w:val="center"/>
                    <w:rPr>
                      <w:sz w:val="21"/>
                    </w:rPr>
                  </w:pPr>
                  <w:r>
                    <w:rPr>
                      <w:sz w:val="21"/>
                    </w:rPr>
                    <w:t>555.00</w:t>
                  </w:r>
                </w:p>
              </w:tc>
              <w:tc>
                <w:tcPr>
                  <w:tcW w:w="834" w:type="dxa"/>
                  <w:vAlign w:val="center"/>
                </w:tcPr>
                <w:p>
                  <w:pPr>
                    <w:widowControl/>
                    <w:jc w:val="center"/>
                    <w:rPr>
                      <w:sz w:val="21"/>
                    </w:rPr>
                  </w:pPr>
                  <w:r>
                    <w:rPr>
                      <w:sz w:val="21"/>
                    </w:rPr>
                    <w:t>1000</w:t>
                  </w:r>
                </w:p>
              </w:tc>
              <w:tc>
                <w:tcPr>
                  <w:tcW w:w="976" w:type="dxa"/>
                  <w:vAlign w:val="center"/>
                </w:tcPr>
                <w:p>
                  <w:pPr>
                    <w:widowControl/>
                    <w:jc w:val="center"/>
                    <w:rPr>
                      <w:sz w:val="21"/>
                    </w:rPr>
                  </w:pPr>
                  <w:r>
                    <w:rPr>
                      <w:sz w:val="21"/>
                    </w:rPr>
                    <w:t>0.49</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68" w:type="dxa"/>
                  <w:vAlign w:val="center"/>
                </w:tcPr>
                <w:p>
                  <w:pPr>
                    <w:widowControl/>
                    <w:jc w:val="center"/>
                    <w:rPr>
                      <w:sz w:val="21"/>
                    </w:rPr>
                  </w:pPr>
                  <w:r>
                    <w:rPr>
                      <w:sz w:val="21"/>
                    </w:rPr>
                    <w:t>7</w:t>
                  </w:r>
                </w:p>
              </w:tc>
              <w:tc>
                <w:tcPr>
                  <w:tcW w:w="1394" w:type="dxa"/>
                  <w:vAlign w:val="center"/>
                </w:tcPr>
                <w:p>
                  <w:pPr>
                    <w:widowControl/>
                    <w:jc w:val="center"/>
                    <w:rPr>
                      <w:sz w:val="21"/>
                    </w:rPr>
                  </w:pPr>
                  <w:r>
                    <w:rPr>
                      <w:sz w:val="21"/>
                    </w:rPr>
                    <w:t>氨氮</w:t>
                  </w:r>
                </w:p>
              </w:tc>
              <w:tc>
                <w:tcPr>
                  <w:tcW w:w="1063" w:type="dxa"/>
                  <w:vAlign w:val="center"/>
                </w:tcPr>
                <w:p>
                  <w:pPr>
                    <w:widowControl/>
                    <w:jc w:val="center"/>
                    <w:rPr>
                      <w:sz w:val="21"/>
                    </w:rPr>
                  </w:pPr>
                  <w:r>
                    <w:rPr>
                      <w:sz w:val="21"/>
                    </w:rPr>
                    <w:t>0.03</w:t>
                  </w:r>
                </w:p>
              </w:tc>
              <w:tc>
                <w:tcPr>
                  <w:tcW w:w="1697" w:type="dxa"/>
                  <w:vAlign w:val="center"/>
                </w:tcPr>
                <w:p>
                  <w:pPr>
                    <w:widowControl/>
                    <w:jc w:val="center"/>
                    <w:rPr>
                      <w:sz w:val="21"/>
                    </w:rPr>
                  </w:pPr>
                  <w:r>
                    <w:rPr>
                      <w:sz w:val="21"/>
                    </w:rPr>
                    <w:t>0.07</w:t>
                  </w:r>
                </w:p>
              </w:tc>
              <w:tc>
                <w:tcPr>
                  <w:tcW w:w="1285" w:type="dxa"/>
                  <w:vAlign w:val="center"/>
                </w:tcPr>
                <w:p>
                  <w:pPr>
                    <w:widowControl/>
                    <w:jc w:val="center"/>
                    <w:rPr>
                      <w:sz w:val="21"/>
                    </w:rPr>
                  </w:pPr>
                  <w:r>
                    <w:rPr>
                      <w:sz w:val="21"/>
                    </w:rPr>
                    <w:t>0.17</w:t>
                  </w:r>
                </w:p>
              </w:tc>
              <w:tc>
                <w:tcPr>
                  <w:tcW w:w="834" w:type="dxa"/>
                  <w:vAlign w:val="center"/>
                </w:tcPr>
                <w:p>
                  <w:pPr>
                    <w:widowControl/>
                    <w:jc w:val="center"/>
                    <w:rPr>
                      <w:sz w:val="21"/>
                    </w:rPr>
                  </w:pPr>
                  <w:r>
                    <w:rPr>
                      <w:sz w:val="21"/>
                    </w:rPr>
                    <w:t>0.5</w:t>
                  </w:r>
                </w:p>
              </w:tc>
              <w:tc>
                <w:tcPr>
                  <w:tcW w:w="976" w:type="dxa"/>
                  <w:vAlign w:val="center"/>
                </w:tcPr>
                <w:p>
                  <w:pPr>
                    <w:widowControl/>
                    <w:jc w:val="center"/>
                    <w:rPr>
                      <w:sz w:val="21"/>
                    </w:rPr>
                  </w:pPr>
                  <w:r>
                    <w:rPr>
                      <w:sz w:val="21"/>
                    </w:rPr>
                    <w:t>0.07</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8</w:t>
                  </w:r>
                </w:p>
              </w:tc>
              <w:tc>
                <w:tcPr>
                  <w:tcW w:w="1394" w:type="dxa"/>
                  <w:vAlign w:val="center"/>
                </w:tcPr>
                <w:p>
                  <w:pPr>
                    <w:widowControl/>
                    <w:jc w:val="center"/>
                    <w:rPr>
                      <w:sz w:val="21"/>
                    </w:rPr>
                  </w:pPr>
                  <w:r>
                    <w:rPr>
                      <w:sz w:val="21"/>
                    </w:rPr>
                    <w:t>六价铬</w:t>
                  </w:r>
                </w:p>
              </w:tc>
              <w:tc>
                <w:tcPr>
                  <w:tcW w:w="1063" w:type="dxa"/>
                  <w:vAlign w:val="center"/>
                </w:tcPr>
                <w:p>
                  <w:pPr>
                    <w:widowControl/>
                    <w:jc w:val="center"/>
                    <w:rPr>
                      <w:sz w:val="21"/>
                    </w:rPr>
                  </w:pPr>
                  <w:r>
                    <w:rPr>
                      <w:sz w:val="21"/>
                    </w:rPr>
                    <w:t>0.004L</w:t>
                  </w:r>
                </w:p>
              </w:tc>
              <w:tc>
                <w:tcPr>
                  <w:tcW w:w="1697" w:type="dxa"/>
                  <w:vAlign w:val="center"/>
                </w:tcPr>
                <w:p>
                  <w:pPr>
                    <w:widowControl/>
                    <w:jc w:val="center"/>
                    <w:rPr>
                      <w:sz w:val="21"/>
                    </w:rPr>
                  </w:pPr>
                  <w:r>
                    <w:rPr>
                      <w:sz w:val="21"/>
                    </w:rPr>
                    <w:t>0.004L</w:t>
                  </w:r>
                </w:p>
              </w:tc>
              <w:tc>
                <w:tcPr>
                  <w:tcW w:w="1285" w:type="dxa"/>
                  <w:vAlign w:val="center"/>
                </w:tcPr>
                <w:p>
                  <w:pPr>
                    <w:widowControl/>
                    <w:jc w:val="center"/>
                    <w:rPr>
                      <w:sz w:val="21"/>
                    </w:rPr>
                  </w:pPr>
                  <w:r>
                    <w:rPr>
                      <w:sz w:val="21"/>
                    </w:rPr>
                    <w:t>0.004L</w:t>
                  </w:r>
                </w:p>
              </w:tc>
              <w:tc>
                <w:tcPr>
                  <w:tcW w:w="834" w:type="dxa"/>
                  <w:vAlign w:val="center"/>
                </w:tcPr>
                <w:p>
                  <w:pPr>
                    <w:widowControl/>
                    <w:jc w:val="center"/>
                    <w:rPr>
                      <w:sz w:val="21"/>
                    </w:rPr>
                  </w:pPr>
                  <w:r>
                    <w:rPr>
                      <w:sz w:val="21"/>
                    </w:rPr>
                    <w:t>0.05</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9</w:t>
                  </w:r>
                </w:p>
              </w:tc>
              <w:tc>
                <w:tcPr>
                  <w:tcW w:w="1394" w:type="dxa"/>
                  <w:vAlign w:val="center"/>
                </w:tcPr>
                <w:p>
                  <w:pPr>
                    <w:widowControl/>
                    <w:jc w:val="center"/>
                    <w:rPr>
                      <w:sz w:val="21"/>
                    </w:rPr>
                  </w:pPr>
                  <w:r>
                    <w:rPr>
                      <w:sz w:val="21"/>
                    </w:rPr>
                    <w:t>硝酸盐氮</w:t>
                  </w:r>
                </w:p>
              </w:tc>
              <w:tc>
                <w:tcPr>
                  <w:tcW w:w="1063" w:type="dxa"/>
                  <w:vAlign w:val="center"/>
                </w:tcPr>
                <w:p>
                  <w:pPr>
                    <w:widowControl/>
                    <w:jc w:val="center"/>
                    <w:rPr>
                      <w:sz w:val="21"/>
                    </w:rPr>
                  </w:pPr>
                  <w:r>
                    <w:rPr>
                      <w:sz w:val="21"/>
                    </w:rPr>
                    <w:t>0.27</w:t>
                  </w:r>
                </w:p>
              </w:tc>
              <w:tc>
                <w:tcPr>
                  <w:tcW w:w="1697" w:type="dxa"/>
                  <w:vAlign w:val="center"/>
                </w:tcPr>
                <w:p>
                  <w:pPr>
                    <w:widowControl/>
                    <w:jc w:val="center"/>
                    <w:rPr>
                      <w:sz w:val="21"/>
                    </w:rPr>
                  </w:pPr>
                  <w:r>
                    <w:rPr>
                      <w:sz w:val="21"/>
                    </w:rPr>
                    <w:t>8.46</w:t>
                  </w:r>
                </w:p>
              </w:tc>
              <w:tc>
                <w:tcPr>
                  <w:tcW w:w="1285" w:type="dxa"/>
                  <w:vAlign w:val="center"/>
                </w:tcPr>
                <w:p>
                  <w:pPr>
                    <w:widowControl/>
                    <w:jc w:val="center"/>
                    <w:rPr>
                      <w:sz w:val="21"/>
                    </w:rPr>
                  </w:pPr>
                  <w:r>
                    <w:rPr>
                      <w:sz w:val="21"/>
                    </w:rPr>
                    <w:t>7.71</w:t>
                  </w:r>
                </w:p>
              </w:tc>
              <w:tc>
                <w:tcPr>
                  <w:tcW w:w="834" w:type="dxa"/>
                  <w:vAlign w:val="center"/>
                </w:tcPr>
                <w:p>
                  <w:pPr>
                    <w:widowControl/>
                    <w:jc w:val="center"/>
                    <w:rPr>
                      <w:sz w:val="21"/>
                    </w:rPr>
                  </w:pPr>
                  <w:r>
                    <w:rPr>
                      <w:sz w:val="21"/>
                    </w:rPr>
                    <w:t>20</w:t>
                  </w:r>
                </w:p>
              </w:tc>
              <w:tc>
                <w:tcPr>
                  <w:tcW w:w="976" w:type="dxa"/>
                  <w:vAlign w:val="center"/>
                </w:tcPr>
                <w:p>
                  <w:pPr>
                    <w:widowControl/>
                    <w:jc w:val="center"/>
                    <w:rPr>
                      <w:sz w:val="21"/>
                    </w:rPr>
                  </w:pPr>
                  <w:r>
                    <w:rPr>
                      <w:sz w:val="21"/>
                    </w:rPr>
                    <w:t>0.01</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568" w:type="dxa"/>
                  <w:vAlign w:val="center"/>
                </w:tcPr>
                <w:p>
                  <w:pPr>
                    <w:widowControl/>
                    <w:jc w:val="center"/>
                    <w:rPr>
                      <w:sz w:val="21"/>
                    </w:rPr>
                  </w:pPr>
                  <w:r>
                    <w:rPr>
                      <w:sz w:val="21"/>
                    </w:rPr>
                    <w:t>10</w:t>
                  </w:r>
                </w:p>
              </w:tc>
              <w:tc>
                <w:tcPr>
                  <w:tcW w:w="1394" w:type="dxa"/>
                  <w:vAlign w:val="center"/>
                </w:tcPr>
                <w:p>
                  <w:pPr>
                    <w:widowControl/>
                    <w:jc w:val="center"/>
                    <w:rPr>
                      <w:sz w:val="21"/>
                    </w:rPr>
                  </w:pPr>
                  <w:r>
                    <w:rPr>
                      <w:sz w:val="21"/>
                    </w:rPr>
                    <w:t>亚硝酸盐氮</w:t>
                  </w:r>
                </w:p>
              </w:tc>
              <w:tc>
                <w:tcPr>
                  <w:tcW w:w="1063" w:type="dxa"/>
                  <w:vAlign w:val="center"/>
                </w:tcPr>
                <w:p>
                  <w:pPr>
                    <w:widowControl/>
                    <w:jc w:val="center"/>
                    <w:rPr>
                      <w:sz w:val="21"/>
                    </w:rPr>
                  </w:pPr>
                  <w:r>
                    <w:rPr>
                      <w:sz w:val="21"/>
                    </w:rPr>
                    <w:t>0.003L</w:t>
                  </w:r>
                </w:p>
              </w:tc>
              <w:tc>
                <w:tcPr>
                  <w:tcW w:w="1697" w:type="dxa"/>
                  <w:vAlign w:val="center"/>
                </w:tcPr>
                <w:p>
                  <w:pPr>
                    <w:widowControl/>
                    <w:jc w:val="center"/>
                    <w:rPr>
                      <w:sz w:val="21"/>
                    </w:rPr>
                  </w:pPr>
                  <w:r>
                    <w:rPr>
                      <w:sz w:val="21"/>
                    </w:rPr>
                    <w:t>0.003L</w:t>
                  </w:r>
                </w:p>
              </w:tc>
              <w:tc>
                <w:tcPr>
                  <w:tcW w:w="1285" w:type="dxa"/>
                  <w:vAlign w:val="center"/>
                </w:tcPr>
                <w:p>
                  <w:pPr>
                    <w:widowControl/>
                    <w:jc w:val="center"/>
                    <w:rPr>
                      <w:sz w:val="21"/>
                    </w:rPr>
                  </w:pPr>
                  <w:r>
                    <w:rPr>
                      <w:sz w:val="21"/>
                    </w:rPr>
                    <w:t>0.03</w:t>
                  </w:r>
                </w:p>
              </w:tc>
              <w:tc>
                <w:tcPr>
                  <w:tcW w:w="834" w:type="dxa"/>
                  <w:vAlign w:val="center"/>
                </w:tcPr>
                <w:p>
                  <w:pPr>
                    <w:widowControl/>
                    <w:jc w:val="center"/>
                    <w:rPr>
                      <w:sz w:val="21"/>
                    </w:rPr>
                  </w:pPr>
                  <w:r>
                    <w:rPr>
                      <w:sz w:val="21"/>
                    </w:rPr>
                    <w:t>1</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11</w:t>
                  </w:r>
                </w:p>
              </w:tc>
              <w:tc>
                <w:tcPr>
                  <w:tcW w:w="1394" w:type="dxa"/>
                  <w:vAlign w:val="center"/>
                </w:tcPr>
                <w:p>
                  <w:pPr>
                    <w:widowControl/>
                    <w:jc w:val="center"/>
                    <w:rPr>
                      <w:sz w:val="21"/>
                    </w:rPr>
                  </w:pPr>
                  <w:r>
                    <w:rPr>
                      <w:sz w:val="21"/>
                    </w:rPr>
                    <w:t>挥发酚</w:t>
                  </w:r>
                </w:p>
              </w:tc>
              <w:tc>
                <w:tcPr>
                  <w:tcW w:w="1063" w:type="dxa"/>
                  <w:vAlign w:val="center"/>
                </w:tcPr>
                <w:p>
                  <w:pPr>
                    <w:widowControl/>
                    <w:jc w:val="center"/>
                    <w:rPr>
                      <w:sz w:val="21"/>
                    </w:rPr>
                  </w:pPr>
                  <w:r>
                    <w:rPr>
                      <w:sz w:val="21"/>
                    </w:rPr>
                    <w:t>0.0003L</w:t>
                  </w:r>
                </w:p>
              </w:tc>
              <w:tc>
                <w:tcPr>
                  <w:tcW w:w="1697" w:type="dxa"/>
                  <w:vAlign w:val="center"/>
                </w:tcPr>
                <w:p>
                  <w:pPr>
                    <w:widowControl/>
                    <w:jc w:val="center"/>
                    <w:rPr>
                      <w:sz w:val="21"/>
                    </w:rPr>
                  </w:pPr>
                  <w:r>
                    <w:rPr>
                      <w:sz w:val="21"/>
                    </w:rPr>
                    <w:t>0.0003L</w:t>
                  </w:r>
                </w:p>
              </w:tc>
              <w:tc>
                <w:tcPr>
                  <w:tcW w:w="1285" w:type="dxa"/>
                  <w:vAlign w:val="center"/>
                </w:tcPr>
                <w:p>
                  <w:pPr>
                    <w:widowControl/>
                    <w:jc w:val="center"/>
                    <w:rPr>
                      <w:sz w:val="21"/>
                    </w:rPr>
                  </w:pPr>
                  <w:r>
                    <w:rPr>
                      <w:sz w:val="21"/>
                    </w:rPr>
                    <w:t>0.0003L</w:t>
                  </w:r>
                </w:p>
              </w:tc>
              <w:tc>
                <w:tcPr>
                  <w:tcW w:w="834" w:type="dxa"/>
                  <w:vAlign w:val="center"/>
                </w:tcPr>
                <w:p>
                  <w:pPr>
                    <w:widowControl/>
                    <w:jc w:val="center"/>
                    <w:rPr>
                      <w:sz w:val="21"/>
                    </w:rPr>
                  </w:pPr>
                  <w:r>
                    <w:rPr>
                      <w:sz w:val="21"/>
                    </w:rPr>
                    <w:t>0.002</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12</w:t>
                  </w:r>
                </w:p>
              </w:tc>
              <w:tc>
                <w:tcPr>
                  <w:tcW w:w="1394" w:type="dxa"/>
                  <w:vAlign w:val="center"/>
                </w:tcPr>
                <w:p>
                  <w:pPr>
                    <w:widowControl/>
                    <w:jc w:val="center"/>
                    <w:rPr>
                      <w:sz w:val="21"/>
                    </w:rPr>
                  </w:pPr>
                  <w:r>
                    <w:rPr>
                      <w:sz w:val="21"/>
                    </w:rPr>
                    <w:t>铅</w:t>
                  </w:r>
                </w:p>
              </w:tc>
              <w:tc>
                <w:tcPr>
                  <w:tcW w:w="1063" w:type="dxa"/>
                  <w:vAlign w:val="center"/>
                </w:tcPr>
                <w:p>
                  <w:pPr>
                    <w:widowControl/>
                    <w:jc w:val="center"/>
                    <w:rPr>
                      <w:sz w:val="21"/>
                    </w:rPr>
                  </w:pPr>
                  <w:r>
                    <w:rPr>
                      <w:sz w:val="21"/>
                    </w:rPr>
                    <w:t>0.00</w:t>
                  </w:r>
                </w:p>
              </w:tc>
              <w:tc>
                <w:tcPr>
                  <w:tcW w:w="1697" w:type="dxa"/>
                  <w:vAlign w:val="center"/>
                </w:tcPr>
                <w:p>
                  <w:pPr>
                    <w:widowControl/>
                    <w:jc w:val="center"/>
                    <w:rPr>
                      <w:sz w:val="21"/>
                    </w:rPr>
                  </w:pPr>
                  <w:r>
                    <w:rPr>
                      <w:sz w:val="21"/>
                    </w:rPr>
                    <w:t>0.001L</w:t>
                  </w:r>
                </w:p>
              </w:tc>
              <w:tc>
                <w:tcPr>
                  <w:tcW w:w="1285" w:type="dxa"/>
                  <w:vAlign w:val="center"/>
                </w:tcPr>
                <w:p>
                  <w:pPr>
                    <w:widowControl/>
                    <w:jc w:val="center"/>
                    <w:rPr>
                      <w:sz w:val="21"/>
                    </w:rPr>
                  </w:pPr>
                  <w:r>
                    <w:rPr>
                      <w:sz w:val="21"/>
                    </w:rPr>
                    <w:t>0.001L</w:t>
                  </w:r>
                </w:p>
              </w:tc>
              <w:tc>
                <w:tcPr>
                  <w:tcW w:w="834" w:type="dxa"/>
                  <w:vAlign w:val="center"/>
                </w:tcPr>
                <w:p>
                  <w:pPr>
                    <w:widowControl/>
                    <w:jc w:val="center"/>
                    <w:rPr>
                      <w:sz w:val="21"/>
                    </w:rPr>
                  </w:pPr>
                  <w:r>
                    <w:rPr>
                      <w:sz w:val="21"/>
                    </w:rPr>
                    <w:t>0.01</w:t>
                  </w:r>
                </w:p>
              </w:tc>
              <w:tc>
                <w:tcPr>
                  <w:tcW w:w="976" w:type="dxa"/>
                  <w:vAlign w:val="center"/>
                </w:tcPr>
                <w:p>
                  <w:pPr>
                    <w:widowControl/>
                    <w:jc w:val="center"/>
                    <w:rPr>
                      <w:sz w:val="21"/>
                    </w:rPr>
                  </w:pPr>
                  <w:r>
                    <w:rPr>
                      <w:sz w:val="21"/>
                    </w:rPr>
                    <w:t>0.20</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13</w:t>
                  </w:r>
                </w:p>
              </w:tc>
              <w:tc>
                <w:tcPr>
                  <w:tcW w:w="1394" w:type="dxa"/>
                  <w:vAlign w:val="center"/>
                </w:tcPr>
                <w:p>
                  <w:pPr>
                    <w:widowControl/>
                    <w:jc w:val="center"/>
                    <w:rPr>
                      <w:sz w:val="21"/>
                    </w:rPr>
                  </w:pPr>
                  <w:r>
                    <w:rPr>
                      <w:sz w:val="21"/>
                    </w:rPr>
                    <w:t>镉</w:t>
                  </w:r>
                </w:p>
              </w:tc>
              <w:tc>
                <w:tcPr>
                  <w:tcW w:w="1063" w:type="dxa"/>
                  <w:vAlign w:val="center"/>
                </w:tcPr>
                <w:p>
                  <w:pPr>
                    <w:widowControl/>
                    <w:jc w:val="center"/>
                    <w:rPr>
                      <w:sz w:val="21"/>
                    </w:rPr>
                  </w:pPr>
                  <w:r>
                    <w:rPr>
                      <w:sz w:val="21"/>
                    </w:rPr>
                    <w:t>0.00</w:t>
                  </w:r>
                </w:p>
              </w:tc>
              <w:tc>
                <w:tcPr>
                  <w:tcW w:w="1697" w:type="dxa"/>
                  <w:vAlign w:val="center"/>
                </w:tcPr>
                <w:p>
                  <w:pPr>
                    <w:widowControl/>
                    <w:jc w:val="center"/>
                    <w:rPr>
                      <w:sz w:val="21"/>
                    </w:rPr>
                  </w:pPr>
                  <w:r>
                    <w:rPr>
                      <w:sz w:val="21"/>
                    </w:rPr>
                    <w:t>0.0001L</w:t>
                  </w:r>
                </w:p>
              </w:tc>
              <w:tc>
                <w:tcPr>
                  <w:tcW w:w="1285" w:type="dxa"/>
                  <w:vAlign w:val="center"/>
                </w:tcPr>
                <w:p>
                  <w:pPr>
                    <w:widowControl/>
                    <w:jc w:val="center"/>
                    <w:rPr>
                      <w:sz w:val="21"/>
                    </w:rPr>
                  </w:pPr>
                  <w:r>
                    <w:rPr>
                      <w:sz w:val="21"/>
                    </w:rPr>
                    <w:t>0.0001L</w:t>
                  </w:r>
                </w:p>
              </w:tc>
              <w:tc>
                <w:tcPr>
                  <w:tcW w:w="834" w:type="dxa"/>
                  <w:vAlign w:val="center"/>
                </w:tcPr>
                <w:p>
                  <w:pPr>
                    <w:widowControl/>
                    <w:jc w:val="center"/>
                    <w:rPr>
                      <w:sz w:val="21"/>
                    </w:rPr>
                  </w:pPr>
                  <w:r>
                    <w:rPr>
                      <w:sz w:val="21"/>
                    </w:rPr>
                    <w:t>0.005</w:t>
                  </w:r>
                </w:p>
              </w:tc>
              <w:tc>
                <w:tcPr>
                  <w:tcW w:w="976" w:type="dxa"/>
                  <w:vAlign w:val="center"/>
                </w:tcPr>
                <w:p>
                  <w:pPr>
                    <w:widowControl/>
                    <w:jc w:val="center"/>
                    <w:rPr>
                      <w:sz w:val="21"/>
                    </w:rPr>
                  </w:pPr>
                  <w:r>
                    <w:rPr>
                      <w:sz w:val="21"/>
                    </w:rPr>
                    <w:t>0.04</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68" w:type="dxa"/>
                  <w:vAlign w:val="center"/>
                </w:tcPr>
                <w:p>
                  <w:pPr>
                    <w:widowControl/>
                    <w:jc w:val="center"/>
                    <w:rPr>
                      <w:sz w:val="21"/>
                    </w:rPr>
                  </w:pPr>
                  <w:r>
                    <w:rPr>
                      <w:sz w:val="21"/>
                    </w:rPr>
                    <w:t>14</w:t>
                  </w:r>
                </w:p>
              </w:tc>
              <w:tc>
                <w:tcPr>
                  <w:tcW w:w="1394" w:type="dxa"/>
                  <w:vAlign w:val="center"/>
                </w:tcPr>
                <w:p>
                  <w:pPr>
                    <w:widowControl/>
                    <w:jc w:val="center"/>
                    <w:rPr>
                      <w:sz w:val="21"/>
                    </w:rPr>
                  </w:pPr>
                  <w:r>
                    <w:rPr>
                      <w:sz w:val="21"/>
                    </w:rPr>
                    <w:t>铁</w:t>
                  </w:r>
                </w:p>
              </w:tc>
              <w:tc>
                <w:tcPr>
                  <w:tcW w:w="1063" w:type="dxa"/>
                  <w:vAlign w:val="center"/>
                </w:tcPr>
                <w:p>
                  <w:pPr>
                    <w:widowControl/>
                    <w:jc w:val="center"/>
                    <w:rPr>
                      <w:sz w:val="21"/>
                    </w:rPr>
                  </w:pPr>
                  <w:r>
                    <w:rPr>
                      <w:sz w:val="21"/>
                    </w:rPr>
                    <w:t>0.03L</w:t>
                  </w:r>
                </w:p>
              </w:tc>
              <w:tc>
                <w:tcPr>
                  <w:tcW w:w="1697" w:type="dxa"/>
                  <w:vAlign w:val="center"/>
                </w:tcPr>
                <w:p>
                  <w:pPr>
                    <w:widowControl/>
                    <w:jc w:val="center"/>
                    <w:rPr>
                      <w:sz w:val="21"/>
                    </w:rPr>
                  </w:pPr>
                  <w:r>
                    <w:rPr>
                      <w:sz w:val="21"/>
                    </w:rPr>
                    <w:t>0.03L</w:t>
                  </w:r>
                </w:p>
              </w:tc>
              <w:tc>
                <w:tcPr>
                  <w:tcW w:w="1285" w:type="dxa"/>
                  <w:vAlign w:val="center"/>
                </w:tcPr>
                <w:p>
                  <w:pPr>
                    <w:widowControl/>
                    <w:jc w:val="center"/>
                    <w:rPr>
                      <w:sz w:val="21"/>
                    </w:rPr>
                  </w:pPr>
                  <w:r>
                    <w:rPr>
                      <w:sz w:val="21"/>
                    </w:rPr>
                    <w:t>0.03L</w:t>
                  </w:r>
                </w:p>
              </w:tc>
              <w:tc>
                <w:tcPr>
                  <w:tcW w:w="834" w:type="dxa"/>
                  <w:vAlign w:val="center"/>
                </w:tcPr>
                <w:p>
                  <w:pPr>
                    <w:widowControl/>
                    <w:jc w:val="center"/>
                    <w:rPr>
                      <w:sz w:val="21"/>
                    </w:rPr>
                  </w:pPr>
                  <w:r>
                    <w:rPr>
                      <w:sz w:val="21"/>
                    </w:rPr>
                    <w:t>0.3</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15</w:t>
                  </w:r>
                </w:p>
              </w:tc>
              <w:tc>
                <w:tcPr>
                  <w:tcW w:w="1394" w:type="dxa"/>
                  <w:vAlign w:val="center"/>
                </w:tcPr>
                <w:p>
                  <w:pPr>
                    <w:widowControl/>
                    <w:jc w:val="center"/>
                    <w:rPr>
                      <w:sz w:val="21"/>
                    </w:rPr>
                  </w:pPr>
                  <w:r>
                    <w:rPr>
                      <w:sz w:val="21"/>
                    </w:rPr>
                    <w:t>锰</w:t>
                  </w:r>
                </w:p>
              </w:tc>
              <w:tc>
                <w:tcPr>
                  <w:tcW w:w="1063" w:type="dxa"/>
                  <w:vAlign w:val="center"/>
                </w:tcPr>
                <w:p>
                  <w:pPr>
                    <w:widowControl/>
                    <w:jc w:val="center"/>
                    <w:rPr>
                      <w:sz w:val="21"/>
                    </w:rPr>
                  </w:pPr>
                  <w:r>
                    <w:rPr>
                      <w:sz w:val="21"/>
                    </w:rPr>
                    <w:t>0.01</w:t>
                  </w:r>
                </w:p>
              </w:tc>
              <w:tc>
                <w:tcPr>
                  <w:tcW w:w="1697" w:type="dxa"/>
                  <w:vAlign w:val="center"/>
                </w:tcPr>
                <w:p>
                  <w:pPr>
                    <w:widowControl/>
                    <w:jc w:val="center"/>
                    <w:rPr>
                      <w:sz w:val="21"/>
                    </w:rPr>
                  </w:pPr>
                  <w:r>
                    <w:rPr>
                      <w:sz w:val="21"/>
                    </w:rPr>
                    <w:t>0.01L</w:t>
                  </w:r>
                </w:p>
              </w:tc>
              <w:tc>
                <w:tcPr>
                  <w:tcW w:w="1285" w:type="dxa"/>
                  <w:vAlign w:val="center"/>
                </w:tcPr>
                <w:p>
                  <w:pPr>
                    <w:widowControl/>
                    <w:jc w:val="center"/>
                    <w:rPr>
                      <w:sz w:val="21"/>
                    </w:rPr>
                  </w:pPr>
                  <w:r>
                    <w:rPr>
                      <w:sz w:val="21"/>
                    </w:rPr>
                    <w:t>0.0810</w:t>
                  </w:r>
                </w:p>
              </w:tc>
              <w:tc>
                <w:tcPr>
                  <w:tcW w:w="834" w:type="dxa"/>
                  <w:vAlign w:val="center"/>
                </w:tcPr>
                <w:p>
                  <w:pPr>
                    <w:widowControl/>
                    <w:jc w:val="center"/>
                    <w:rPr>
                      <w:sz w:val="21"/>
                    </w:rPr>
                  </w:pPr>
                  <w:r>
                    <w:rPr>
                      <w:sz w:val="21"/>
                    </w:rPr>
                    <w:t>0.1</w:t>
                  </w:r>
                </w:p>
              </w:tc>
              <w:tc>
                <w:tcPr>
                  <w:tcW w:w="976" w:type="dxa"/>
                  <w:vAlign w:val="center"/>
                </w:tcPr>
                <w:p>
                  <w:pPr>
                    <w:widowControl/>
                    <w:jc w:val="center"/>
                    <w:rPr>
                      <w:sz w:val="21"/>
                    </w:rPr>
                  </w:pPr>
                  <w:r>
                    <w:rPr>
                      <w:sz w:val="21"/>
                    </w:rPr>
                    <w:t>0.12</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16</w:t>
                  </w:r>
                </w:p>
              </w:tc>
              <w:tc>
                <w:tcPr>
                  <w:tcW w:w="1394" w:type="dxa"/>
                  <w:vAlign w:val="center"/>
                </w:tcPr>
                <w:p>
                  <w:pPr>
                    <w:widowControl/>
                    <w:jc w:val="center"/>
                    <w:rPr>
                      <w:sz w:val="21"/>
                    </w:rPr>
                  </w:pPr>
                  <w:r>
                    <w:rPr>
                      <w:sz w:val="21"/>
                    </w:rPr>
                    <w:t>砷</w:t>
                  </w:r>
                </w:p>
              </w:tc>
              <w:tc>
                <w:tcPr>
                  <w:tcW w:w="1063" w:type="dxa"/>
                  <w:vAlign w:val="center"/>
                </w:tcPr>
                <w:p>
                  <w:pPr>
                    <w:widowControl/>
                    <w:jc w:val="center"/>
                    <w:rPr>
                      <w:sz w:val="21"/>
                    </w:rPr>
                  </w:pPr>
                  <w:r>
                    <w:rPr>
                      <w:sz w:val="21"/>
                    </w:rPr>
                    <w:t>0.0014</w:t>
                  </w:r>
                </w:p>
              </w:tc>
              <w:tc>
                <w:tcPr>
                  <w:tcW w:w="1697" w:type="dxa"/>
                  <w:vAlign w:val="center"/>
                </w:tcPr>
                <w:p>
                  <w:pPr>
                    <w:widowControl/>
                    <w:jc w:val="center"/>
                    <w:rPr>
                      <w:sz w:val="21"/>
                    </w:rPr>
                  </w:pPr>
                  <w:r>
                    <w:rPr>
                      <w:sz w:val="21"/>
                    </w:rPr>
                    <w:t>0.0005</w:t>
                  </w:r>
                </w:p>
              </w:tc>
              <w:tc>
                <w:tcPr>
                  <w:tcW w:w="1285" w:type="dxa"/>
                  <w:vAlign w:val="center"/>
                </w:tcPr>
                <w:p>
                  <w:pPr>
                    <w:widowControl/>
                    <w:jc w:val="center"/>
                    <w:rPr>
                      <w:sz w:val="21"/>
                    </w:rPr>
                  </w:pPr>
                  <w:r>
                    <w:rPr>
                      <w:sz w:val="21"/>
                    </w:rPr>
                    <w:t>0.0018</w:t>
                  </w:r>
                </w:p>
              </w:tc>
              <w:tc>
                <w:tcPr>
                  <w:tcW w:w="834" w:type="dxa"/>
                  <w:vAlign w:val="center"/>
                </w:tcPr>
                <w:p>
                  <w:pPr>
                    <w:widowControl/>
                    <w:jc w:val="center"/>
                    <w:rPr>
                      <w:sz w:val="21"/>
                    </w:rPr>
                  </w:pPr>
                  <w:r>
                    <w:rPr>
                      <w:sz w:val="21"/>
                    </w:rPr>
                    <w:t>0.01</w:t>
                  </w:r>
                </w:p>
              </w:tc>
              <w:tc>
                <w:tcPr>
                  <w:tcW w:w="976" w:type="dxa"/>
                  <w:vAlign w:val="center"/>
                </w:tcPr>
                <w:p>
                  <w:pPr>
                    <w:widowControl/>
                    <w:jc w:val="center"/>
                    <w:rPr>
                      <w:sz w:val="21"/>
                    </w:rPr>
                  </w:pPr>
                  <w:r>
                    <w:rPr>
                      <w:sz w:val="21"/>
                    </w:rPr>
                    <w:t>0.15</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17</w:t>
                  </w:r>
                </w:p>
              </w:tc>
              <w:tc>
                <w:tcPr>
                  <w:tcW w:w="1394" w:type="dxa"/>
                  <w:vAlign w:val="center"/>
                </w:tcPr>
                <w:p>
                  <w:pPr>
                    <w:widowControl/>
                    <w:jc w:val="center"/>
                    <w:rPr>
                      <w:sz w:val="21"/>
                    </w:rPr>
                  </w:pPr>
                  <w:r>
                    <w:rPr>
                      <w:sz w:val="21"/>
                    </w:rPr>
                    <w:t>汞</w:t>
                  </w:r>
                </w:p>
              </w:tc>
              <w:tc>
                <w:tcPr>
                  <w:tcW w:w="1063" w:type="dxa"/>
                  <w:vAlign w:val="center"/>
                </w:tcPr>
                <w:p>
                  <w:pPr>
                    <w:widowControl/>
                    <w:jc w:val="center"/>
                    <w:rPr>
                      <w:sz w:val="21"/>
                    </w:rPr>
                  </w:pPr>
                  <w:r>
                    <w:rPr>
                      <w:sz w:val="21"/>
                    </w:rPr>
                    <w:t>0.04L</w:t>
                  </w:r>
                </w:p>
              </w:tc>
              <w:tc>
                <w:tcPr>
                  <w:tcW w:w="1697" w:type="dxa"/>
                  <w:vAlign w:val="center"/>
                </w:tcPr>
                <w:p>
                  <w:pPr>
                    <w:widowControl/>
                    <w:jc w:val="center"/>
                    <w:rPr>
                      <w:sz w:val="21"/>
                    </w:rPr>
                  </w:pPr>
                  <w:r>
                    <w:rPr>
                      <w:sz w:val="21"/>
                    </w:rPr>
                    <w:t>0.04L</w:t>
                  </w:r>
                </w:p>
              </w:tc>
              <w:tc>
                <w:tcPr>
                  <w:tcW w:w="1285" w:type="dxa"/>
                  <w:vAlign w:val="center"/>
                </w:tcPr>
                <w:p>
                  <w:pPr>
                    <w:widowControl/>
                    <w:jc w:val="center"/>
                    <w:rPr>
                      <w:sz w:val="21"/>
                    </w:rPr>
                  </w:pPr>
                  <w:r>
                    <w:rPr>
                      <w:sz w:val="21"/>
                    </w:rPr>
                    <w:t>0.04L</w:t>
                  </w:r>
                </w:p>
              </w:tc>
              <w:tc>
                <w:tcPr>
                  <w:tcW w:w="834" w:type="dxa"/>
                  <w:vAlign w:val="center"/>
                </w:tcPr>
                <w:p>
                  <w:pPr>
                    <w:widowControl/>
                    <w:jc w:val="center"/>
                    <w:rPr>
                      <w:sz w:val="21"/>
                    </w:rPr>
                  </w:pPr>
                  <w:r>
                    <w:rPr>
                      <w:sz w:val="21"/>
                    </w:rPr>
                    <w:t>0.001</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18</w:t>
                  </w:r>
                </w:p>
              </w:tc>
              <w:tc>
                <w:tcPr>
                  <w:tcW w:w="1394" w:type="dxa"/>
                  <w:vAlign w:val="center"/>
                </w:tcPr>
                <w:p>
                  <w:pPr>
                    <w:widowControl/>
                    <w:jc w:val="center"/>
                    <w:rPr>
                      <w:sz w:val="21"/>
                    </w:rPr>
                  </w:pPr>
                  <w:r>
                    <w:rPr>
                      <w:sz w:val="21"/>
                    </w:rPr>
                    <w:t>总硬度</w:t>
                  </w:r>
                </w:p>
              </w:tc>
              <w:tc>
                <w:tcPr>
                  <w:tcW w:w="1063" w:type="dxa"/>
                  <w:vAlign w:val="center"/>
                </w:tcPr>
                <w:p>
                  <w:pPr>
                    <w:widowControl/>
                    <w:jc w:val="center"/>
                    <w:rPr>
                      <w:sz w:val="21"/>
                    </w:rPr>
                  </w:pPr>
                  <w:r>
                    <w:rPr>
                      <w:sz w:val="21"/>
                    </w:rPr>
                    <w:t>145.67</w:t>
                  </w:r>
                </w:p>
              </w:tc>
              <w:tc>
                <w:tcPr>
                  <w:tcW w:w="1697" w:type="dxa"/>
                  <w:vAlign w:val="center"/>
                </w:tcPr>
                <w:p>
                  <w:pPr>
                    <w:widowControl/>
                    <w:jc w:val="center"/>
                    <w:rPr>
                      <w:sz w:val="21"/>
                    </w:rPr>
                  </w:pPr>
                  <w:r>
                    <w:rPr>
                      <w:sz w:val="21"/>
                    </w:rPr>
                    <w:t>266.33</w:t>
                  </w:r>
                </w:p>
              </w:tc>
              <w:tc>
                <w:tcPr>
                  <w:tcW w:w="1285" w:type="dxa"/>
                  <w:vAlign w:val="center"/>
                </w:tcPr>
                <w:p>
                  <w:pPr>
                    <w:widowControl/>
                    <w:jc w:val="center"/>
                    <w:rPr>
                      <w:sz w:val="21"/>
                    </w:rPr>
                  </w:pPr>
                  <w:r>
                    <w:rPr>
                      <w:sz w:val="21"/>
                    </w:rPr>
                    <w:t>369.33</w:t>
                  </w:r>
                </w:p>
              </w:tc>
              <w:tc>
                <w:tcPr>
                  <w:tcW w:w="834" w:type="dxa"/>
                  <w:vAlign w:val="center"/>
                </w:tcPr>
                <w:p>
                  <w:pPr>
                    <w:widowControl/>
                    <w:jc w:val="center"/>
                    <w:rPr>
                      <w:sz w:val="21"/>
                    </w:rPr>
                  </w:pPr>
                  <w:r>
                    <w:rPr>
                      <w:sz w:val="21"/>
                    </w:rPr>
                    <w:t>450</w:t>
                  </w:r>
                </w:p>
              </w:tc>
              <w:tc>
                <w:tcPr>
                  <w:tcW w:w="976" w:type="dxa"/>
                  <w:vAlign w:val="center"/>
                </w:tcPr>
                <w:p>
                  <w:pPr>
                    <w:widowControl/>
                    <w:jc w:val="center"/>
                    <w:rPr>
                      <w:sz w:val="21"/>
                    </w:rPr>
                  </w:pPr>
                  <w:r>
                    <w:rPr>
                      <w:sz w:val="21"/>
                    </w:rPr>
                    <w:t>0.33</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568" w:type="dxa"/>
                  <w:vAlign w:val="center"/>
                </w:tcPr>
                <w:p>
                  <w:pPr>
                    <w:widowControl/>
                    <w:jc w:val="center"/>
                    <w:rPr>
                      <w:sz w:val="21"/>
                    </w:rPr>
                  </w:pPr>
                  <w:r>
                    <w:rPr>
                      <w:sz w:val="21"/>
                    </w:rPr>
                    <w:t>19</w:t>
                  </w:r>
                </w:p>
              </w:tc>
              <w:tc>
                <w:tcPr>
                  <w:tcW w:w="1394" w:type="dxa"/>
                  <w:vAlign w:val="center"/>
                </w:tcPr>
                <w:p>
                  <w:pPr>
                    <w:widowControl/>
                    <w:jc w:val="center"/>
                    <w:rPr>
                      <w:sz w:val="21"/>
                    </w:rPr>
                  </w:pPr>
                  <w:r>
                    <w:rPr>
                      <w:sz w:val="21"/>
                    </w:rPr>
                    <w:t xml:space="preserve">*K </w:t>
                  </w:r>
                  <w:r>
                    <w:rPr>
                      <w:sz w:val="21"/>
                      <w:vertAlign w:val="superscript"/>
                    </w:rPr>
                    <w:t>+</w:t>
                  </w:r>
                </w:p>
              </w:tc>
              <w:tc>
                <w:tcPr>
                  <w:tcW w:w="1063" w:type="dxa"/>
                  <w:vAlign w:val="center"/>
                </w:tcPr>
                <w:p>
                  <w:pPr>
                    <w:widowControl/>
                    <w:jc w:val="center"/>
                    <w:rPr>
                      <w:sz w:val="21"/>
                    </w:rPr>
                  </w:pPr>
                  <w:r>
                    <w:rPr>
                      <w:sz w:val="21"/>
                    </w:rPr>
                    <w:t>9.26</w:t>
                  </w:r>
                </w:p>
              </w:tc>
              <w:tc>
                <w:tcPr>
                  <w:tcW w:w="1697" w:type="dxa"/>
                  <w:vAlign w:val="center"/>
                </w:tcPr>
                <w:p>
                  <w:pPr>
                    <w:widowControl/>
                    <w:jc w:val="center"/>
                    <w:rPr>
                      <w:sz w:val="21"/>
                    </w:rPr>
                  </w:pPr>
                  <w:r>
                    <w:rPr>
                      <w:sz w:val="21"/>
                    </w:rPr>
                    <w:t>20.00</w:t>
                  </w:r>
                </w:p>
              </w:tc>
              <w:tc>
                <w:tcPr>
                  <w:tcW w:w="1285" w:type="dxa"/>
                  <w:vAlign w:val="center"/>
                </w:tcPr>
                <w:p>
                  <w:pPr>
                    <w:widowControl/>
                    <w:jc w:val="center"/>
                    <w:rPr>
                      <w:sz w:val="21"/>
                    </w:rPr>
                  </w:pPr>
                  <w:r>
                    <w:rPr>
                      <w:sz w:val="21"/>
                    </w:rPr>
                    <w:t>25.47</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568" w:type="dxa"/>
                  <w:vAlign w:val="center"/>
                </w:tcPr>
                <w:p>
                  <w:pPr>
                    <w:widowControl/>
                    <w:jc w:val="center"/>
                    <w:rPr>
                      <w:sz w:val="21"/>
                    </w:rPr>
                  </w:pPr>
                  <w:r>
                    <w:rPr>
                      <w:sz w:val="21"/>
                    </w:rPr>
                    <w:t>20</w:t>
                  </w:r>
                </w:p>
              </w:tc>
              <w:tc>
                <w:tcPr>
                  <w:tcW w:w="1394" w:type="dxa"/>
                  <w:vAlign w:val="center"/>
                </w:tcPr>
                <w:p>
                  <w:pPr>
                    <w:widowControl/>
                    <w:jc w:val="center"/>
                    <w:rPr>
                      <w:sz w:val="21"/>
                    </w:rPr>
                  </w:pPr>
                  <w:r>
                    <w:rPr>
                      <w:sz w:val="21"/>
                    </w:rPr>
                    <w:t>*Na</w:t>
                  </w:r>
                  <w:r>
                    <w:rPr>
                      <w:sz w:val="21"/>
                      <w:vertAlign w:val="superscript"/>
                    </w:rPr>
                    <w:t xml:space="preserve"> +</w:t>
                  </w:r>
                </w:p>
              </w:tc>
              <w:tc>
                <w:tcPr>
                  <w:tcW w:w="1063" w:type="dxa"/>
                  <w:vAlign w:val="center"/>
                </w:tcPr>
                <w:p>
                  <w:pPr>
                    <w:widowControl/>
                    <w:jc w:val="center"/>
                    <w:rPr>
                      <w:sz w:val="21"/>
                    </w:rPr>
                  </w:pPr>
                  <w:r>
                    <w:rPr>
                      <w:sz w:val="21"/>
                    </w:rPr>
                    <w:t>86.63</w:t>
                  </w:r>
                </w:p>
              </w:tc>
              <w:tc>
                <w:tcPr>
                  <w:tcW w:w="1697" w:type="dxa"/>
                  <w:vAlign w:val="center"/>
                </w:tcPr>
                <w:p>
                  <w:pPr>
                    <w:widowControl/>
                    <w:jc w:val="center"/>
                    <w:rPr>
                      <w:sz w:val="21"/>
                    </w:rPr>
                  </w:pPr>
                  <w:r>
                    <w:rPr>
                      <w:sz w:val="21"/>
                    </w:rPr>
                    <w:t>19.17</w:t>
                  </w:r>
                </w:p>
              </w:tc>
              <w:tc>
                <w:tcPr>
                  <w:tcW w:w="1285" w:type="dxa"/>
                  <w:vAlign w:val="center"/>
                </w:tcPr>
                <w:p>
                  <w:pPr>
                    <w:widowControl/>
                    <w:jc w:val="center"/>
                    <w:rPr>
                      <w:sz w:val="21"/>
                    </w:rPr>
                  </w:pPr>
                  <w:r>
                    <w:rPr>
                      <w:sz w:val="21"/>
                    </w:rPr>
                    <w:t>38.50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8" w:type="dxa"/>
                  <w:vAlign w:val="center"/>
                </w:tcPr>
                <w:p>
                  <w:pPr>
                    <w:widowControl/>
                    <w:jc w:val="center"/>
                    <w:rPr>
                      <w:sz w:val="21"/>
                    </w:rPr>
                  </w:pPr>
                  <w:r>
                    <w:rPr>
                      <w:sz w:val="21"/>
                    </w:rPr>
                    <w:t>21</w:t>
                  </w:r>
                </w:p>
              </w:tc>
              <w:tc>
                <w:tcPr>
                  <w:tcW w:w="1394" w:type="dxa"/>
                  <w:vAlign w:val="center"/>
                </w:tcPr>
                <w:p>
                  <w:pPr>
                    <w:widowControl/>
                    <w:jc w:val="center"/>
                    <w:rPr>
                      <w:sz w:val="21"/>
                    </w:rPr>
                  </w:pPr>
                  <w:r>
                    <w:rPr>
                      <w:sz w:val="21"/>
                    </w:rPr>
                    <w:t xml:space="preserve">*Ca </w:t>
                  </w:r>
                  <w:r>
                    <w:rPr>
                      <w:sz w:val="21"/>
                      <w:vertAlign w:val="superscript"/>
                    </w:rPr>
                    <w:t>2+</w:t>
                  </w:r>
                </w:p>
              </w:tc>
              <w:tc>
                <w:tcPr>
                  <w:tcW w:w="1063" w:type="dxa"/>
                  <w:vAlign w:val="center"/>
                </w:tcPr>
                <w:p>
                  <w:pPr>
                    <w:widowControl/>
                    <w:jc w:val="center"/>
                    <w:rPr>
                      <w:sz w:val="21"/>
                    </w:rPr>
                  </w:pPr>
                  <w:r>
                    <w:rPr>
                      <w:sz w:val="21"/>
                    </w:rPr>
                    <w:t>46.43</w:t>
                  </w:r>
                </w:p>
              </w:tc>
              <w:tc>
                <w:tcPr>
                  <w:tcW w:w="1697" w:type="dxa"/>
                  <w:vAlign w:val="center"/>
                </w:tcPr>
                <w:p>
                  <w:pPr>
                    <w:widowControl/>
                    <w:jc w:val="center"/>
                    <w:rPr>
                      <w:sz w:val="21"/>
                    </w:rPr>
                  </w:pPr>
                  <w:r>
                    <w:rPr>
                      <w:sz w:val="21"/>
                    </w:rPr>
                    <w:t>68.80</w:t>
                  </w:r>
                </w:p>
              </w:tc>
              <w:tc>
                <w:tcPr>
                  <w:tcW w:w="1285" w:type="dxa"/>
                  <w:vAlign w:val="center"/>
                </w:tcPr>
                <w:p>
                  <w:pPr>
                    <w:widowControl/>
                    <w:jc w:val="center"/>
                    <w:rPr>
                      <w:sz w:val="21"/>
                    </w:rPr>
                  </w:pPr>
                  <w:r>
                    <w:rPr>
                      <w:sz w:val="21"/>
                    </w:rPr>
                    <w:t>98.53</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568" w:type="dxa"/>
                  <w:vAlign w:val="center"/>
                </w:tcPr>
                <w:p>
                  <w:pPr>
                    <w:widowControl/>
                    <w:jc w:val="center"/>
                    <w:rPr>
                      <w:sz w:val="21"/>
                    </w:rPr>
                  </w:pPr>
                  <w:r>
                    <w:rPr>
                      <w:sz w:val="21"/>
                    </w:rPr>
                    <w:t>22</w:t>
                  </w:r>
                </w:p>
              </w:tc>
              <w:tc>
                <w:tcPr>
                  <w:tcW w:w="1394" w:type="dxa"/>
                  <w:vAlign w:val="center"/>
                </w:tcPr>
                <w:p>
                  <w:pPr>
                    <w:widowControl/>
                    <w:jc w:val="center"/>
                    <w:rPr>
                      <w:sz w:val="21"/>
                    </w:rPr>
                  </w:pPr>
                  <w:r>
                    <w:rPr>
                      <w:sz w:val="21"/>
                    </w:rPr>
                    <w:t>*Mg</w:t>
                  </w:r>
                  <w:r>
                    <w:rPr>
                      <w:sz w:val="21"/>
                      <w:vertAlign w:val="superscript"/>
                    </w:rPr>
                    <w:t xml:space="preserve"> 2+</w:t>
                  </w:r>
                </w:p>
              </w:tc>
              <w:tc>
                <w:tcPr>
                  <w:tcW w:w="1063" w:type="dxa"/>
                  <w:vAlign w:val="center"/>
                </w:tcPr>
                <w:p>
                  <w:pPr>
                    <w:widowControl/>
                    <w:jc w:val="center"/>
                    <w:rPr>
                      <w:sz w:val="21"/>
                    </w:rPr>
                  </w:pPr>
                  <w:r>
                    <w:rPr>
                      <w:sz w:val="21"/>
                    </w:rPr>
                    <w:t>7.32</w:t>
                  </w:r>
                </w:p>
              </w:tc>
              <w:tc>
                <w:tcPr>
                  <w:tcW w:w="1697" w:type="dxa"/>
                  <w:vAlign w:val="center"/>
                </w:tcPr>
                <w:p>
                  <w:pPr>
                    <w:widowControl/>
                    <w:jc w:val="center"/>
                    <w:rPr>
                      <w:sz w:val="21"/>
                    </w:rPr>
                  </w:pPr>
                  <w:r>
                    <w:rPr>
                      <w:sz w:val="21"/>
                    </w:rPr>
                    <w:t>25.60</w:t>
                  </w:r>
                </w:p>
              </w:tc>
              <w:tc>
                <w:tcPr>
                  <w:tcW w:w="1285" w:type="dxa"/>
                  <w:vAlign w:val="center"/>
                </w:tcPr>
                <w:p>
                  <w:pPr>
                    <w:widowControl/>
                    <w:jc w:val="center"/>
                    <w:rPr>
                      <w:sz w:val="21"/>
                    </w:rPr>
                  </w:pPr>
                  <w:r>
                    <w:rPr>
                      <w:sz w:val="21"/>
                    </w:rPr>
                    <w:t>34.60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68" w:type="dxa"/>
                  <w:vAlign w:val="center"/>
                </w:tcPr>
                <w:p>
                  <w:pPr>
                    <w:widowControl/>
                    <w:jc w:val="center"/>
                    <w:rPr>
                      <w:sz w:val="21"/>
                    </w:rPr>
                  </w:pPr>
                  <w:r>
                    <w:rPr>
                      <w:sz w:val="21"/>
                    </w:rPr>
                    <w:t>23</w:t>
                  </w:r>
                </w:p>
              </w:tc>
              <w:tc>
                <w:tcPr>
                  <w:tcW w:w="1394" w:type="dxa"/>
                  <w:vAlign w:val="center"/>
                </w:tcPr>
                <w:p>
                  <w:pPr>
                    <w:widowControl/>
                    <w:jc w:val="center"/>
                    <w:rPr>
                      <w:sz w:val="21"/>
                    </w:rPr>
                  </w:pPr>
                  <w:r>
                    <w:rPr>
                      <w:sz w:val="21"/>
                    </w:rPr>
                    <w:t>*CO</w:t>
                  </w:r>
                  <w:r>
                    <w:rPr>
                      <w:sz w:val="21"/>
                      <w:vertAlign w:val="subscript"/>
                    </w:rPr>
                    <w:t xml:space="preserve"> 3</w:t>
                  </w:r>
                  <w:r>
                    <w:rPr>
                      <w:sz w:val="21"/>
                      <w:vertAlign w:val="superscript"/>
                    </w:rPr>
                    <w:t xml:space="preserve"> 2-</w:t>
                  </w:r>
                </w:p>
              </w:tc>
              <w:tc>
                <w:tcPr>
                  <w:tcW w:w="1063" w:type="dxa"/>
                  <w:vAlign w:val="center"/>
                </w:tcPr>
                <w:p>
                  <w:pPr>
                    <w:widowControl/>
                    <w:jc w:val="center"/>
                    <w:rPr>
                      <w:sz w:val="21"/>
                    </w:rPr>
                  </w:pPr>
                  <w:r>
                    <w:rPr>
                      <w:sz w:val="21"/>
                    </w:rPr>
                    <w:t>ND</w:t>
                  </w:r>
                </w:p>
              </w:tc>
              <w:tc>
                <w:tcPr>
                  <w:tcW w:w="1697" w:type="dxa"/>
                  <w:vAlign w:val="center"/>
                </w:tcPr>
                <w:p>
                  <w:pPr>
                    <w:widowControl/>
                    <w:jc w:val="center"/>
                    <w:rPr>
                      <w:sz w:val="21"/>
                    </w:rPr>
                  </w:pPr>
                  <w:r>
                    <w:rPr>
                      <w:sz w:val="21"/>
                    </w:rPr>
                    <w:t>ND</w:t>
                  </w:r>
                </w:p>
              </w:tc>
              <w:tc>
                <w:tcPr>
                  <w:tcW w:w="1285" w:type="dxa"/>
                  <w:vAlign w:val="center"/>
                </w:tcPr>
                <w:p>
                  <w:pPr>
                    <w:widowControl/>
                    <w:jc w:val="center"/>
                    <w:rPr>
                      <w:sz w:val="21"/>
                    </w:rPr>
                  </w:pPr>
                  <w:r>
                    <w:rPr>
                      <w:sz w:val="21"/>
                    </w:rPr>
                    <w:t>ND</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68" w:type="dxa"/>
                  <w:vAlign w:val="center"/>
                </w:tcPr>
                <w:p>
                  <w:pPr>
                    <w:widowControl/>
                    <w:jc w:val="center"/>
                    <w:rPr>
                      <w:sz w:val="21"/>
                    </w:rPr>
                  </w:pPr>
                  <w:r>
                    <w:rPr>
                      <w:sz w:val="21"/>
                    </w:rPr>
                    <w:t>24</w:t>
                  </w:r>
                </w:p>
              </w:tc>
              <w:tc>
                <w:tcPr>
                  <w:tcW w:w="1394" w:type="dxa"/>
                  <w:vAlign w:val="center"/>
                </w:tcPr>
                <w:p>
                  <w:pPr>
                    <w:widowControl/>
                    <w:jc w:val="center"/>
                    <w:rPr>
                      <w:sz w:val="21"/>
                    </w:rPr>
                  </w:pPr>
                  <w:r>
                    <w:rPr>
                      <w:sz w:val="21"/>
                    </w:rPr>
                    <w:t xml:space="preserve">*HCO </w:t>
                  </w:r>
                  <w:r>
                    <w:rPr>
                      <w:sz w:val="21"/>
                      <w:vertAlign w:val="superscript"/>
                    </w:rPr>
                    <w:t>3 -</w:t>
                  </w:r>
                </w:p>
              </w:tc>
              <w:tc>
                <w:tcPr>
                  <w:tcW w:w="1063" w:type="dxa"/>
                  <w:vAlign w:val="center"/>
                </w:tcPr>
                <w:p>
                  <w:pPr>
                    <w:widowControl/>
                    <w:jc w:val="center"/>
                    <w:rPr>
                      <w:sz w:val="21"/>
                    </w:rPr>
                  </w:pPr>
                  <w:r>
                    <w:rPr>
                      <w:sz w:val="21"/>
                    </w:rPr>
                    <w:t>263.00</w:t>
                  </w:r>
                </w:p>
              </w:tc>
              <w:tc>
                <w:tcPr>
                  <w:tcW w:w="1697" w:type="dxa"/>
                  <w:vAlign w:val="center"/>
                </w:tcPr>
                <w:p>
                  <w:pPr>
                    <w:widowControl/>
                    <w:jc w:val="center"/>
                    <w:rPr>
                      <w:sz w:val="21"/>
                    </w:rPr>
                  </w:pPr>
                  <w:r>
                    <w:rPr>
                      <w:sz w:val="21"/>
                    </w:rPr>
                    <w:t>287.00</w:t>
                  </w:r>
                </w:p>
              </w:tc>
              <w:tc>
                <w:tcPr>
                  <w:tcW w:w="1285" w:type="dxa"/>
                  <w:vAlign w:val="center"/>
                </w:tcPr>
                <w:p>
                  <w:pPr>
                    <w:widowControl/>
                    <w:jc w:val="center"/>
                    <w:rPr>
                      <w:sz w:val="21"/>
                    </w:rPr>
                  </w:pPr>
                  <w:r>
                    <w:rPr>
                      <w:sz w:val="21"/>
                    </w:rPr>
                    <w:t>425.00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568" w:type="dxa"/>
                  <w:vAlign w:val="center"/>
                </w:tcPr>
                <w:p>
                  <w:pPr>
                    <w:widowControl/>
                    <w:jc w:val="center"/>
                    <w:rPr>
                      <w:sz w:val="21"/>
                    </w:rPr>
                  </w:pPr>
                  <w:r>
                    <w:rPr>
                      <w:sz w:val="21"/>
                    </w:rPr>
                    <w:t>25</w:t>
                  </w:r>
                </w:p>
              </w:tc>
              <w:tc>
                <w:tcPr>
                  <w:tcW w:w="1394" w:type="dxa"/>
                  <w:vAlign w:val="center"/>
                </w:tcPr>
                <w:p>
                  <w:pPr>
                    <w:widowControl/>
                    <w:jc w:val="center"/>
                    <w:rPr>
                      <w:sz w:val="21"/>
                    </w:rPr>
                  </w:pPr>
                  <w:r>
                    <w:rPr>
                      <w:sz w:val="21"/>
                    </w:rPr>
                    <w:t>*Cl</w:t>
                  </w:r>
                  <w:r>
                    <w:rPr>
                      <w:sz w:val="21"/>
                      <w:vertAlign w:val="superscript"/>
                    </w:rPr>
                    <w:t xml:space="preserve"> </w:t>
                  </w:r>
                  <w:r>
                    <w:rPr>
                      <w:rFonts w:hint="eastAsia"/>
                      <w:sz w:val="21"/>
                      <w:vertAlign w:val="superscript"/>
                    </w:rPr>
                    <w:t>-</w:t>
                  </w:r>
                </w:p>
              </w:tc>
              <w:tc>
                <w:tcPr>
                  <w:tcW w:w="1063" w:type="dxa"/>
                  <w:vAlign w:val="center"/>
                </w:tcPr>
                <w:p>
                  <w:pPr>
                    <w:widowControl/>
                    <w:jc w:val="center"/>
                    <w:rPr>
                      <w:sz w:val="21"/>
                    </w:rPr>
                  </w:pPr>
                  <w:r>
                    <w:rPr>
                      <w:sz w:val="21"/>
                    </w:rPr>
                    <w:t>14.00</w:t>
                  </w:r>
                </w:p>
              </w:tc>
              <w:tc>
                <w:tcPr>
                  <w:tcW w:w="1697" w:type="dxa"/>
                  <w:vAlign w:val="center"/>
                </w:tcPr>
                <w:p>
                  <w:pPr>
                    <w:widowControl/>
                    <w:jc w:val="center"/>
                    <w:rPr>
                      <w:sz w:val="21"/>
                    </w:rPr>
                  </w:pPr>
                  <w:r>
                    <w:rPr>
                      <w:sz w:val="21"/>
                    </w:rPr>
                    <w:t>26.00</w:t>
                  </w:r>
                </w:p>
              </w:tc>
              <w:tc>
                <w:tcPr>
                  <w:tcW w:w="1285" w:type="dxa"/>
                  <w:vAlign w:val="center"/>
                </w:tcPr>
                <w:p>
                  <w:pPr>
                    <w:widowControl/>
                    <w:jc w:val="center"/>
                    <w:rPr>
                      <w:sz w:val="21"/>
                    </w:rPr>
                  </w:pPr>
                  <w:r>
                    <w:rPr>
                      <w:sz w:val="21"/>
                    </w:rPr>
                    <w:t>42.00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68" w:type="dxa"/>
                  <w:vAlign w:val="center"/>
                </w:tcPr>
                <w:p>
                  <w:pPr>
                    <w:widowControl/>
                    <w:jc w:val="center"/>
                    <w:rPr>
                      <w:sz w:val="21"/>
                    </w:rPr>
                  </w:pPr>
                  <w:r>
                    <w:rPr>
                      <w:sz w:val="21"/>
                    </w:rPr>
                    <w:t>26</w:t>
                  </w:r>
                </w:p>
              </w:tc>
              <w:tc>
                <w:tcPr>
                  <w:tcW w:w="1394" w:type="dxa"/>
                  <w:vAlign w:val="center"/>
                </w:tcPr>
                <w:p>
                  <w:pPr>
                    <w:widowControl/>
                    <w:jc w:val="center"/>
                    <w:rPr>
                      <w:sz w:val="21"/>
                    </w:rPr>
                  </w:pPr>
                  <w:r>
                    <w:rPr>
                      <w:sz w:val="21"/>
                    </w:rPr>
                    <w:t xml:space="preserve">*SO </w:t>
                  </w:r>
                  <w:r>
                    <w:rPr>
                      <w:sz w:val="21"/>
                      <w:vertAlign w:val="subscript"/>
                    </w:rPr>
                    <w:t xml:space="preserve">4 </w:t>
                  </w:r>
                  <w:r>
                    <w:rPr>
                      <w:sz w:val="21"/>
                      <w:vertAlign w:val="superscript"/>
                    </w:rPr>
                    <w:t>2-</w:t>
                  </w:r>
                </w:p>
              </w:tc>
              <w:tc>
                <w:tcPr>
                  <w:tcW w:w="1063" w:type="dxa"/>
                  <w:vAlign w:val="center"/>
                </w:tcPr>
                <w:p>
                  <w:pPr>
                    <w:widowControl/>
                    <w:jc w:val="center"/>
                    <w:rPr>
                      <w:sz w:val="21"/>
                    </w:rPr>
                  </w:pPr>
                  <w:r>
                    <w:rPr>
                      <w:sz w:val="21"/>
                    </w:rPr>
                    <w:t>68.00</w:t>
                  </w:r>
                </w:p>
              </w:tc>
              <w:tc>
                <w:tcPr>
                  <w:tcW w:w="1697" w:type="dxa"/>
                  <w:vAlign w:val="center"/>
                </w:tcPr>
                <w:p>
                  <w:pPr>
                    <w:widowControl/>
                    <w:jc w:val="center"/>
                    <w:rPr>
                      <w:sz w:val="21"/>
                    </w:rPr>
                  </w:pPr>
                  <w:r>
                    <w:rPr>
                      <w:sz w:val="21"/>
                    </w:rPr>
                    <w:t>23.67</w:t>
                  </w:r>
                </w:p>
              </w:tc>
              <w:tc>
                <w:tcPr>
                  <w:tcW w:w="1285" w:type="dxa"/>
                  <w:vAlign w:val="center"/>
                </w:tcPr>
                <w:p>
                  <w:pPr>
                    <w:widowControl/>
                    <w:jc w:val="center"/>
                    <w:rPr>
                      <w:sz w:val="21"/>
                    </w:rPr>
                  </w:pPr>
                  <w:r>
                    <w:rPr>
                      <w:sz w:val="21"/>
                    </w:rPr>
                    <w:t>49.67</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27</w:t>
                  </w:r>
                </w:p>
              </w:tc>
              <w:tc>
                <w:tcPr>
                  <w:tcW w:w="1394" w:type="dxa"/>
                  <w:vAlign w:val="center"/>
                </w:tcPr>
                <w:p>
                  <w:pPr>
                    <w:widowControl/>
                    <w:jc w:val="center"/>
                    <w:rPr>
                      <w:sz w:val="21"/>
                    </w:rPr>
                  </w:pPr>
                  <w:r>
                    <w:rPr>
                      <w:sz w:val="21"/>
                    </w:rPr>
                    <w:t>硫酸盐</w:t>
                  </w:r>
                </w:p>
              </w:tc>
              <w:tc>
                <w:tcPr>
                  <w:tcW w:w="1063" w:type="dxa"/>
                  <w:vAlign w:val="center"/>
                </w:tcPr>
                <w:p>
                  <w:pPr>
                    <w:widowControl/>
                    <w:jc w:val="center"/>
                    <w:rPr>
                      <w:sz w:val="21"/>
                    </w:rPr>
                  </w:pPr>
                  <w:r>
                    <w:rPr>
                      <w:sz w:val="21"/>
                    </w:rPr>
                    <w:t>114.33</w:t>
                  </w:r>
                </w:p>
              </w:tc>
              <w:tc>
                <w:tcPr>
                  <w:tcW w:w="1697" w:type="dxa"/>
                  <w:vAlign w:val="center"/>
                </w:tcPr>
                <w:p>
                  <w:pPr>
                    <w:widowControl/>
                    <w:jc w:val="center"/>
                    <w:rPr>
                      <w:sz w:val="21"/>
                    </w:rPr>
                  </w:pPr>
                  <w:r>
                    <w:rPr>
                      <w:sz w:val="21"/>
                    </w:rPr>
                    <w:t>33.13</w:t>
                  </w:r>
                </w:p>
              </w:tc>
              <w:tc>
                <w:tcPr>
                  <w:tcW w:w="1285" w:type="dxa"/>
                  <w:vAlign w:val="center"/>
                </w:tcPr>
                <w:p>
                  <w:pPr>
                    <w:widowControl/>
                    <w:jc w:val="center"/>
                    <w:rPr>
                      <w:sz w:val="21"/>
                    </w:rPr>
                  </w:pPr>
                  <w:r>
                    <w:rPr>
                      <w:sz w:val="21"/>
                    </w:rPr>
                    <w:t>63.10</w:t>
                  </w:r>
                </w:p>
              </w:tc>
              <w:tc>
                <w:tcPr>
                  <w:tcW w:w="834" w:type="dxa"/>
                  <w:vAlign w:val="center"/>
                </w:tcPr>
                <w:p>
                  <w:pPr>
                    <w:widowControl/>
                    <w:jc w:val="center"/>
                    <w:rPr>
                      <w:sz w:val="21"/>
                    </w:rPr>
                  </w:pPr>
                  <w:r>
                    <w:rPr>
                      <w:sz w:val="21"/>
                    </w:rPr>
                    <w:t>250</w:t>
                  </w:r>
                </w:p>
              </w:tc>
              <w:tc>
                <w:tcPr>
                  <w:tcW w:w="976" w:type="dxa"/>
                  <w:vAlign w:val="center"/>
                </w:tcPr>
                <w:p>
                  <w:pPr>
                    <w:widowControl/>
                    <w:jc w:val="center"/>
                    <w:rPr>
                      <w:sz w:val="21"/>
                    </w:rPr>
                  </w:pPr>
                  <w:r>
                    <w:rPr>
                      <w:sz w:val="21"/>
                    </w:rPr>
                    <w:t>0.46</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68" w:type="dxa"/>
                  <w:vAlign w:val="center"/>
                </w:tcPr>
                <w:p>
                  <w:pPr>
                    <w:widowControl/>
                    <w:jc w:val="center"/>
                    <w:rPr>
                      <w:sz w:val="21"/>
                    </w:rPr>
                  </w:pPr>
                  <w:r>
                    <w:rPr>
                      <w:sz w:val="21"/>
                    </w:rPr>
                    <w:t>28</w:t>
                  </w:r>
                </w:p>
              </w:tc>
              <w:tc>
                <w:tcPr>
                  <w:tcW w:w="1394" w:type="dxa"/>
                  <w:vAlign w:val="center"/>
                </w:tcPr>
                <w:p>
                  <w:pPr>
                    <w:widowControl/>
                    <w:jc w:val="center"/>
                    <w:rPr>
                      <w:sz w:val="21"/>
                    </w:rPr>
                  </w:pPr>
                  <w:r>
                    <w:rPr>
                      <w:sz w:val="21"/>
                    </w:rPr>
                    <w:t>总大肠菌群</w:t>
                  </w:r>
                </w:p>
              </w:tc>
              <w:tc>
                <w:tcPr>
                  <w:tcW w:w="1063" w:type="dxa"/>
                  <w:vAlign w:val="center"/>
                </w:tcPr>
                <w:p>
                  <w:pPr>
                    <w:widowControl/>
                    <w:rPr>
                      <w:sz w:val="21"/>
                    </w:rPr>
                  </w:pPr>
                  <w:r>
                    <w:rPr>
                      <w:sz w:val="21"/>
                    </w:rPr>
                    <w:t>1.5×10</w:t>
                  </w:r>
                  <w:r>
                    <w:rPr>
                      <w:sz w:val="21"/>
                      <w:vertAlign w:val="superscript"/>
                    </w:rPr>
                    <w:t>3</w:t>
                  </w:r>
                </w:p>
              </w:tc>
              <w:tc>
                <w:tcPr>
                  <w:tcW w:w="1697" w:type="dxa"/>
                  <w:vAlign w:val="center"/>
                </w:tcPr>
                <w:p>
                  <w:pPr>
                    <w:widowControl/>
                    <w:jc w:val="center"/>
                    <w:rPr>
                      <w:sz w:val="21"/>
                    </w:rPr>
                  </w:pPr>
                  <w:r>
                    <w:rPr>
                      <w:sz w:val="21"/>
                    </w:rPr>
                    <w:t>1.6×10</w:t>
                  </w:r>
                  <w:r>
                    <w:rPr>
                      <w:sz w:val="21"/>
                      <w:vertAlign w:val="superscript"/>
                    </w:rPr>
                    <w:t>4</w:t>
                  </w:r>
                </w:p>
              </w:tc>
              <w:tc>
                <w:tcPr>
                  <w:tcW w:w="1285" w:type="dxa"/>
                  <w:vAlign w:val="center"/>
                </w:tcPr>
                <w:p>
                  <w:pPr>
                    <w:widowControl/>
                    <w:jc w:val="center"/>
                    <w:rPr>
                      <w:sz w:val="21"/>
                    </w:rPr>
                  </w:pPr>
                  <w:r>
                    <w:rPr>
                      <w:sz w:val="21"/>
                    </w:rPr>
                    <w:t>1.6×10</w:t>
                  </w:r>
                  <w:r>
                    <w:rPr>
                      <w:sz w:val="21"/>
                      <w:vertAlign w:val="superscript"/>
                    </w:rPr>
                    <w:t>4</w:t>
                  </w:r>
                </w:p>
              </w:tc>
              <w:tc>
                <w:tcPr>
                  <w:tcW w:w="834" w:type="dxa"/>
                  <w:vAlign w:val="center"/>
                </w:tcPr>
                <w:p>
                  <w:pPr>
                    <w:widowControl/>
                    <w:jc w:val="center"/>
                    <w:rPr>
                      <w:sz w:val="21"/>
                    </w:rPr>
                  </w:pPr>
                  <w:r>
                    <w:rPr>
                      <w:sz w:val="21"/>
                    </w:rPr>
                    <w:t>3</w:t>
                  </w:r>
                </w:p>
              </w:tc>
              <w:tc>
                <w:tcPr>
                  <w:tcW w:w="976" w:type="dxa"/>
                  <w:vAlign w:val="center"/>
                </w:tcPr>
                <w:p>
                  <w:pPr>
                    <w:widowControl/>
                    <w:jc w:val="center"/>
                    <w:rPr>
                      <w:sz w:val="21"/>
                    </w:rPr>
                  </w:pPr>
                  <w:r>
                    <w:rPr>
                      <w:sz w:val="21"/>
                    </w:rPr>
                    <w:t>566.67</w:t>
                  </w:r>
                </w:p>
              </w:tc>
              <w:tc>
                <w:tcPr>
                  <w:tcW w:w="992" w:type="dxa"/>
                  <w:vAlign w:val="center"/>
                </w:tcPr>
                <w:p>
                  <w:pPr>
                    <w:widowControl/>
                    <w:jc w:val="center"/>
                    <w:rPr>
                      <w:sz w:val="21"/>
                    </w:rPr>
                  </w:pPr>
                  <w:r>
                    <w:rPr>
                      <w:sz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68" w:type="dxa"/>
                  <w:vAlign w:val="center"/>
                </w:tcPr>
                <w:p>
                  <w:pPr>
                    <w:widowControl/>
                    <w:jc w:val="center"/>
                    <w:rPr>
                      <w:sz w:val="21"/>
                    </w:rPr>
                  </w:pPr>
                  <w:r>
                    <w:rPr>
                      <w:sz w:val="21"/>
                    </w:rPr>
                    <w:t>29</w:t>
                  </w:r>
                </w:p>
              </w:tc>
              <w:tc>
                <w:tcPr>
                  <w:tcW w:w="1394" w:type="dxa"/>
                  <w:vAlign w:val="center"/>
                </w:tcPr>
                <w:p>
                  <w:pPr>
                    <w:widowControl/>
                    <w:jc w:val="center"/>
                    <w:rPr>
                      <w:sz w:val="21"/>
                    </w:rPr>
                  </w:pPr>
                  <w:r>
                    <w:rPr>
                      <w:sz w:val="21"/>
                    </w:rPr>
                    <w:t>细菌总数</w:t>
                  </w:r>
                </w:p>
              </w:tc>
              <w:tc>
                <w:tcPr>
                  <w:tcW w:w="1063" w:type="dxa"/>
                  <w:vAlign w:val="center"/>
                </w:tcPr>
                <w:p>
                  <w:pPr>
                    <w:widowControl/>
                    <w:jc w:val="center"/>
                    <w:rPr>
                      <w:sz w:val="21"/>
                    </w:rPr>
                  </w:pPr>
                  <w:r>
                    <w:rPr>
                      <w:sz w:val="21"/>
                    </w:rPr>
                    <w:t>1.9×104</w:t>
                  </w:r>
                </w:p>
              </w:tc>
              <w:tc>
                <w:tcPr>
                  <w:tcW w:w="1697" w:type="dxa"/>
                  <w:vAlign w:val="center"/>
                </w:tcPr>
                <w:p>
                  <w:pPr>
                    <w:widowControl/>
                    <w:jc w:val="center"/>
                    <w:rPr>
                      <w:sz w:val="21"/>
                    </w:rPr>
                  </w:pPr>
                  <w:r>
                    <w:rPr>
                      <w:sz w:val="21"/>
                    </w:rPr>
                    <w:t>1.1×103</w:t>
                  </w:r>
                </w:p>
              </w:tc>
              <w:tc>
                <w:tcPr>
                  <w:tcW w:w="1285" w:type="dxa"/>
                  <w:vAlign w:val="center"/>
                </w:tcPr>
                <w:p>
                  <w:pPr>
                    <w:widowControl/>
                    <w:jc w:val="center"/>
                    <w:rPr>
                      <w:sz w:val="21"/>
                    </w:rPr>
                  </w:pPr>
                  <w:r>
                    <w:rPr>
                      <w:sz w:val="21"/>
                    </w:rPr>
                    <w:t>1.9×102</w:t>
                  </w:r>
                </w:p>
              </w:tc>
              <w:tc>
                <w:tcPr>
                  <w:tcW w:w="834" w:type="dxa"/>
                  <w:vAlign w:val="center"/>
                </w:tcPr>
                <w:p>
                  <w:pPr>
                    <w:widowControl/>
                    <w:jc w:val="center"/>
                    <w:rPr>
                      <w:sz w:val="21"/>
                    </w:rPr>
                  </w:pPr>
                  <w:r>
                    <w:rPr>
                      <w:sz w:val="21"/>
                    </w:rPr>
                    <w:t>100</w:t>
                  </w:r>
                </w:p>
              </w:tc>
              <w:tc>
                <w:tcPr>
                  <w:tcW w:w="976" w:type="dxa"/>
                  <w:vAlign w:val="center"/>
                </w:tcPr>
                <w:p>
                  <w:pPr>
                    <w:widowControl/>
                    <w:jc w:val="center"/>
                    <w:rPr>
                      <w:sz w:val="21"/>
                    </w:rPr>
                  </w:pPr>
                  <w:r>
                    <w:rPr>
                      <w:sz w:val="21"/>
                    </w:rPr>
                    <w:t>230.00</w:t>
                  </w:r>
                </w:p>
              </w:tc>
              <w:tc>
                <w:tcPr>
                  <w:tcW w:w="992" w:type="dxa"/>
                  <w:vAlign w:val="center"/>
                </w:tcPr>
                <w:p>
                  <w:pPr>
                    <w:widowControl/>
                    <w:jc w:val="center"/>
                    <w:rPr>
                      <w:sz w:val="21"/>
                    </w:rPr>
                  </w:pPr>
                  <w:r>
                    <w:rPr>
                      <w:sz w:val="21"/>
                    </w:rPr>
                    <w:t>不达标</w:t>
                  </w:r>
                </w:p>
              </w:tc>
            </w:tr>
          </w:tbl>
          <w:p>
            <w:pPr>
              <w:adjustRightInd w:val="0"/>
              <w:snapToGrid w:val="0"/>
              <w:spacing w:beforeLines="50" w:line="360" w:lineRule="auto"/>
              <w:ind w:firstLine="480" w:firstLineChars="200"/>
              <w:rPr>
                <w:bCs/>
                <w:kern w:val="0"/>
              </w:rPr>
            </w:pPr>
            <w:r>
              <w:rPr>
                <w:rFonts w:hint="eastAsia"/>
                <w:bCs/>
                <w:kern w:val="0"/>
              </w:rPr>
              <w:t>根据引用监测结果分析，项目区域内的</w:t>
            </w:r>
            <w:r>
              <w:rPr>
                <w:bCs/>
                <w:kern w:val="0"/>
              </w:rPr>
              <w:t>Q1</w:t>
            </w:r>
            <w:r>
              <w:rPr>
                <w:rFonts w:hint="eastAsia"/>
                <w:bCs/>
                <w:kern w:val="0"/>
              </w:rPr>
              <w:t>普陀泉、</w:t>
            </w:r>
            <w:r>
              <w:rPr>
                <w:bCs/>
                <w:kern w:val="0"/>
              </w:rPr>
              <w:t>Q2</w:t>
            </w:r>
            <w:r>
              <w:rPr>
                <w:rFonts w:hint="eastAsia"/>
                <w:bCs/>
                <w:kern w:val="0"/>
              </w:rPr>
              <w:t>大楼桥地下水、</w:t>
            </w:r>
            <w:r>
              <w:rPr>
                <w:bCs/>
                <w:kern w:val="0"/>
              </w:rPr>
              <w:t>Q3</w:t>
            </w:r>
            <w:r>
              <w:rPr>
                <w:rFonts w:hint="eastAsia"/>
                <w:bCs/>
                <w:kern w:val="0"/>
              </w:rPr>
              <w:t>东中所地下水监测项目中总大肠菌群和细菌总数未能达到《地下水环境质量标准》（</w:t>
            </w:r>
            <w:r>
              <w:rPr>
                <w:bCs/>
                <w:kern w:val="0"/>
              </w:rPr>
              <w:t>GB/T14848-2017</w:t>
            </w:r>
            <w:r>
              <w:rPr>
                <w:rFonts w:hint="eastAsia"/>
                <w:bCs/>
                <w:kern w:val="0"/>
              </w:rPr>
              <w:t>）中</w:t>
            </w:r>
            <w:r>
              <w:rPr>
                <w:bCs/>
                <w:kern w:val="0"/>
              </w:rPr>
              <w:t>Ⅲ</w:t>
            </w:r>
            <w:r>
              <w:rPr>
                <w:rFonts w:hint="eastAsia"/>
                <w:bCs/>
                <w:kern w:val="0"/>
              </w:rPr>
              <w:t>类标准，其余监测因子均达到</w:t>
            </w:r>
            <w:r>
              <w:rPr>
                <w:bCs/>
                <w:kern w:val="0"/>
              </w:rPr>
              <w:t>Ⅲ</w:t>
            </w:r>
            <w:r>
              <w:rPr>
                <w:rFonts w:hint="eastAsia"/>
                <w:bCs/>
                <w:kern w:val="0"/>
              </w:rPr>
              <w:t>类标准。分析超标主要原因可能是项目所在地受农业面源污染所致。</w:t>
            </w:r>
          </w:p>
          <w:p>
            <w:pPr>
              <w:adjustRightInd w:val="0"/>
              <w:snapToGrid w:val="0"/>
              <w:spacing w:line="360" w:lineRule="auto"/>
              <w:ind w:firstLine="482" w:firstLineChars="200"/>
              <w:rPr>
                <w:b/>
                <w:color w:val="FF0000"/>
                <w:szCs w:val="24"/>
              </w:rPr>
            </w:pPr>
            <w:r>
              <w:rPr>
                <w:rFonts w:hint="eastAsia"/>
                <w:b/>
                <w:color w:val="FF0000"/>
                <w:szCs w:val="24"/>
              </w:rPr>
              <w:t xml:space="preserve"> 5</w:t>
            </w:r>
            <w:r>
              <w:rPr>
                <w:b/>
                <w:color w:val="FF0000"/>
                <w:szCs w:val="24"/>
              </w:rPr>
              <w:t>、生态环境</w:t>
            </w:r>
            <w:r>
              <w:rPr>
                <w:rFonts w:hint="eastAsia"/>
                <w:b/>
                <w:color w:val="FF0000"/>
                <w:szCs w:val="24"/>
              </w:rPr>
              <w:t>质量</w:t>
            </w:r>
            <w:r>
              <w:rPr>
                <w:b/>
                <w:color w:val="FF0000"/>
                <w:szCs w:val="24"/>
              </w:rPr>
              <w:t>现状</w:t>
            </w:r>
          </w:p>
          <w:p>
            <w:pPr>
              <w:adjustRightInd w:val="0"/>
              <w:snapToGrid w:val="0"/>
              <w:spacing w:line="360" w:lineRule="auto"/>
              <w:ind w:firstLine="480" w:firstLineChars="200"/>
              <w:rPr>
                <w:b/>
                <w:bCs/>
                <w:color w:val="FF0000"/>
                <w:szCs w:val="24"/>
              </w:rPr>
            </w:pPr>
            <w:r>
              <w:rPr>
                <w:rFonts w:hint="eastAsia"/>
                <w:color w:val="FF0000"/>
                <w:szCs w:val="24"/>
              </w:rPr>
              <w:t>本项目位于云南省大理州洱源县境内，涉及洱源县的</w:t>
            </w:r>
            <w:r>
              <w:rPr>
                <w:color w:val="FF0000"/>
                <w:szCs w:val="24"/>
              </w:rPr>
              <w:t>牛街乡、三营镇、茈碧湖镇、右所镇</w:t>
            </w:r>
            <w:r>
              <w:rPr>
                <w:rFonts w:hint="eastAsia"/>
                <w:color w:val="FF0000"/>
                <w:szCs w:val="24"/>
              </w:rPr>
              <w:t>、</w:t>
            </w:r>
            <w:r>
              <w:rPr>
                <w:color w:val="FF0000"/>
                <w:szCs w:val="24"/>
              </w:rPr>
              <w:t>邓川镇</w:t>
            </w:r>
            <w:r>
              <w:rPr>
                <w:rFonts w:hint="eastAsia"/>
                <w:color w:val="FF0000"/>
                <w:szCs w:val="24"/>
              </w:rPr>
              <w:t>和凤羽镇6个</w:t>
            </w:r>
            <w:r>
              <w:rPr>
                <w:color w:val="FF0000"/>
                <w:szCs w:val="24"/>
              </w:rPr>
              <w:t>乡镇行政区范围</w:t>
            </w:r>
            <w:r>
              <w:rPr>
                <w:rFonts w:hint="eastAsia"/>
                <w:color w:val="FF0000"/>
                <w:szCs w:val="24"/>
              </w:rPr>
              <w:t>，均属于农村地区</w:t>
            </w:r>
            <w:r>
              <w:rPr>
                <w:rFonts w:hint="eastAsia" w:hAnsi="宋体"/>
                <w:color w:val="FF0000"/>
                <w:szCs w:val="24"/>
              </w:rPr>
              <w:t>。根据现场踏勘调查，项目邓川污水厂位于</w:t>
            </w:r>
            <w:r>
              <w:rPr>
                <w:rFonts w:hint="eastAsia"/>
                <w:color w:val="FF0000"/>
                <w:szCs w:val="24"/>
              </w:rPr>
              <w:t>邓川镇中和村民委员会莲荷村，周围大多为农田和耕地，</w:t>
            </w:r>
            <w:r>
              <w:rPr>
                <w:rFonts w:hint="eastAsia" w:hAnsi="宋体"/>
                <w:color w:val="FF0000"/>
                <w:szCs w:val="24"/>
              </w:rPr>
              <w:t>区域受人为活动影响较大，天然植被覆盖率低，生态多样性差，生态环境质量一般。右所污水厂位于</w:t>
            </w:r>
            <w:r>
              <w:rPr>
                <w:rFonts w:hint="eastAsia"/>
                <w:color w:val="FF0000"/>
                <w:szCs w:val="24"/>
              </w:rPr>
              <w:t>右所镇右所村委会，南面为西湖，其余四周均存在建筑物，无天然植被存在，主要为人工绿化植被；</w:t>
            </w:r>
            <w:r>
              <w:rPr>
                <w:color w:val="FF0000"/>
                <w:szCs w:val="24"/>
              </w:rPr>
              <w:t>牛街乡污水处理厂</w:t>
            </w:r>
            <w:r>
              <w:rPr>
                <w:rFonts w:hint="eastAsia"/>
                <w:color w:val="FF0000"/>
                <w:szCs w:val="24"/>
              </w:rPr>
              <w:t>（包括老厂和新厂一期）均位于牛街乡牛街村委会文登村，周围均为农村，无天然植被。且</w:t>
            </w:r>
            <w:r>
              <w:rPr>
                <w:color w:val="FF0000"/>
                <w:szCs w:val="24"/>
              </w:rPr>
              <w:t>项目所在区域内未涉及自然保护区、水源保护区、风景名胜古迹，也没有国家重点保护的珍稀动植物和古树名木。</w:t>
            </w:r>
          </w:p>
          <w:p>
            <w:pPr>
              <w:adjustRightInd w:val="0"/>
              <w:snapToGrid w:val="0"/>
              <w:spacing w:line="360" w:lineRule="auto"/>
              <w:ind w:firstLine="482" w:firstLineChars="200"/>
              <w:rPr>
                <w:b/>
                <w:szCs w:val="24"/>
              </w:rPr>
            </w:pPr>
            <w:r>
              <w:rPr>
                <w:rFonts w:hint="eastAsia"/>
                <w:b/>
                <w:szCs w:val="24"/>
              </w:rPr>
              <w:t>6、土壤环境质量现状</w:t>
            </w:r>
          </w:p>
          <w:p>
            <w:pPr>
              <w:adjustRightInd w:val="0"/>
              <w:snapToGrid w:val="0"/>
              <w:spacing w:line="360" w:lineRule="auto"/>
              <w:ind w:firstLine="480" w:firstLineChars="200"/>
              <w:rPr>
                <w:color w:val="FF0000"/>
                <w:szCs w:val="24"/>
              </w:rPr>
            </w:pPr>
            <w:r>
              <w:rPr>
                <w:rFonts w:hint="eastAsia"/>
                <w:color w:val="FF0000"/>
                <w:szCs w:val="24"/>
              </w:rPr>
              <w:t>本项目属于土壤环境污染影响型建设项目，评价等级为三级，</w:t>
            </w:r>
            <w:r>
              <w:rPr>
                <w:color w:val="FF0000"/>
              </w:rPr>
              <w:t>根据《</w:t>
            </w:r>
            <w:r>
              <w:rPr>
                <w:rFonts w:hint="eastAsia"/>
                <w:color w:val="FF0000"/>
              </w:rPr>
              <w:t>环境影响评价</w:t>
            </w:r>
            <w:r>
              <w:rPr>
                <w:color w:val="FF0000"/>
              </w:rPr>
              <w:t>技术导则</w:t>
            </w:r>
            <w:r>
              <w:rPr>
                <w:rFonts w:hint="eastAsia"/>
                <w:color w:val="FF0000"/>
              </w:rPr>
              <w:t xml:space="preserve">  土壤环境（试行）</w:t>
            </w:r>
            <w:r>
              <w:rPr>
                <w:color w:val="FF0000"/>
              </w:rPr>
              <w:t>》</w:t>
            </w:r>
            <w:r>
              <w:rPr>
                <w:rFonts w:hint="eastAsia"/>
                <w:color w:val="FF0000"/>
              </w:rPr>
              <w:t>（HJ964-2018）中现状调查与评价的要求，污染影响型三级评级需要调查项目占地范围内3个点位的环境质量现状，但</w:t>
            </w:r>
            <w:r>
              <w:rPr>
                <w:rFonts w:hint="eastAsia"/>
                <w:color w:val="FF0000"/>
                <w:szCs w:val="24"/>
              </w:rPr>
              <w:t>根据生态环境部部长信箱回复，“根据建设项目实际情况，如果项目场地己经做了防腐防渗(包括硬化)处理无法取样，可不取样监测”。</w:t>
            </w:r>
          </w:p>
          <w:p>
            <w:pPr>
              <w:adjustRightInd w:val="0"/>
              <w:snapToGrid w:val="0"/>
              <w:spacing w:line="360" w:lineRule="auto"/>
              <w:ind w:firstLine="480" w:firstLineChars="200"/>
              <w:rPr>
                <w:color w:val="FF0000"/>
                <w:szCs w:val="24"/>
              </w:rPr>
            </w:pPr>
            <w:r>
              <w:rPr>
                <w:rFonts w:hint="eastAsia"/>
                <w:color w:val="FF0000"/>
                <w:szCs w:val="24"/>
              </w:rPr>
              <w:t>本项目属于“未批先建”，根据现场调查，三座污水厂均已建设完毕，处于正常运营阶段，且污水处理厂各类构筑物均已采取了防腐防渗处理，厂区除绿化区域均已进行硬化，不具备监测的条件。因此，本项目可以不进行土壤环境质量监测。</w:t>
            </w:r>
          </w:p>
          <w:p>
            <w:pPr>
              <w:autoSpaceDE w:val="0"/>
              <w:autoSpaceDN w:val="0"/>
              <w:adjustRightInd w:val="0"/>
              <w:snapToGrid w:val="0"/>
              <w:spacing w:line="360" w:lineRule="auto"/>
              <w:jc w:val="left"/>
              <w:rPr>
                <w:szCs w:val="24"/>
              </w:rPr>
            </w:pPr>
            <w:r>
              <w:rPr>
                <w:b/>
                <w:bCs/>
                <w:szCs w:val="24"/>
              </w:rPr>
              <w:t>主要环境保护目标(列出名单及保护级别)：</w:t>
            </w:r>
          </w:p>
          <w:p>
            <w:pPr>
              <w:autoSpaceDE w:val="0"/>
              <w:autoSpaceDN w:val="0"/>
              <w:adjustRightInd w:val="0"/>
              <w:snapToGrid w:val="0"/>
              <w:spacing w:line="360" w:lineRule="auto"/>
              <w:ind w:firstLine="480" w:firstLineChars="200"/>
              <w:jc w:val="left"/>
              <w:rPr>
                <w:szCs w:val="24"/>
              </w:rPr>
            </w:pPr>
            <w:r>
              <w:rPr>
                <w:rFonts w:hint="eastAsia"/>
                <w:szCs w:val="24"/>
              </w:rPr>
              <w:t>本项目位于云南省大理州洱源县，涉及洱源县的</w:t>
            </w:r>
            <w:r>
              <w:rPr>
                <w:szCs w:val="24"/>
              </w:rPr>
              <w:t>牛街乡、三营镇、茈碧湖镇、右所镇</w:t>
            </w:r>
            <w:r>
              <w:rPr>
                <w:rFonts w:hint="eastAsia"/>
                <w:szCs w:val="24"/>
              </w:rPr>
              <w:t>、</w:t>
            </w:r>
            <w:r>
              <w:rPr>
                <w:szCs w:val="24"/>
              </w:rPr>
              <w:t>邓川镇</w:t>
            </w:r>
            <w:r>
              <w:rPr>
                <w:rFonts w:hint="eastAsia"/>
                <w:szCs w:val="24"/>
              </w:rPr>
              <w:t>和凤羽镇6</w:t>
            </w:r>
            <w:r>
              <w:rPr>
                <w:szCs w:val="24"/>
              </w:rPr>
              <w:t>个乡镇行政区范围</w:t>
            </w:r>
            <w:r>
              <w:rPr>
                <w:rFonts w:hint="eastAsia"/>
                <w:szCs w:val="24"/>
              </w:rPr>
              <w:t>，涉及51个自然村。</w:t>
            </w:r>
          </w:p>
          <w:p>
            <w:pPr>
              <w:autoSpaceDE w:val="0"/>
              <w:autoSpaceDN w:val="0"/>
              <w:adjustRightInd w:val="0"/>
              <w:snapToGrid w:val="0"/>
              <w:spacing w:line="360" w:lineRule="auto"/>
              <w:ind w:firstLine="480" w:firstLineChars="200"/>
              <w:jc w:val="left"/>
              <w:rPr>
                <w:color w:val="FF0000"/>
                <w:szCs w:val="24"/>
              </w:rPr>
            </w:pPr>
            <w:r>
              <w:rPr>
                <w:rFonts w:hint="eastAsia"/>
                <w:szCs w:val="24"/>
              </w:rPr>
              <w:t>根据项目特点，确定本项目的大气环境保护目标为项目污水处理厂、截污沟、接户管、提升泵站、检查井等紧邻村庄。</w:t>
            </w:r>
            <w:r>
              <w:rPr>
                <w:rFonts w:hint="eastAsia"/>
                <w:szCs w:val="24"/>
                <w:lang w:bidi="en-US"/>
              </w:rPr>
              <w:t>声环境保护目标为项目</w:t>
            </w:r>
            <w:r>
              <w:rPr>
                <w:rFonts w:hint="eastAsia"/>
                <w:szCs w:val="24"/>
              </w:rPr>
              <w:t>污水处理厂、截污沟、接户管、提升泵站、检查井</w:t>
            </w:r>
            <w:r>
              <w:rPr>
                <w:rFonts w:hint="eastAsia"/>
                <w:szCs w:val="24"/>
                <w:lang w:bidi="en-US"/>
              </w:rPr>
              <w:t>周围200m范围内的村民；</w:t>
            </w:r>
            <w:r>
              <w:rPr>
                <w:rFonts w:hint="eastAsia"/>
                <w:szCs w:val="24"/>
              </w:rPr>
              <w:t>水环境保护目标为项目</w:t>
            </w:r>
            <w:r>
              <w:rPr>
                <w:rFonts w:hint="eastAsia"/>
                <w:szCs w:val="24"/>
                <w:lang w:bidi="en-US"/>
              </w:rPr>
              <w:t>区域内的6条主要河流（弥茨河、凤羽河、弥苴河、罗时江和永安江）。</w:t>
            </w:r>
          </w:p>
          <w:p>
            <w:pPr>
              <w:pStyle w:val="10"/>
              <w:keepNext/>
              <w:adjustRightInd w:val="0"/>
              <w:snapToGrid w:val="0"/>
              <w:spacing w:before="0" w:after="0" w:line="360" w:lineRule="auto"/>
              <w:rPr>
                <w:rFonts w:ascii="Times New Roman" w:eastAsia="宋体"/>
                <w:b w:val="0"/>
                <w:bCs w:val="0"/>
                <w:szCs w:val="24"/>
              </w:rPr>
            </w:pPr>
            <w:r>
              <w:rPr>
                <w:rFonts w:hint="eastAsia" w:ascii="Times New Roman" w:eastAsia="宋体"/>
                <w:b w:val="0"/>
                <w:bCs w:val="0"/>
                <w:szCs w:val="24"/>
              </w:rPr>
              <w:t>具体环境保护目标见表3-5~3-7，项目与周边环境关系见附图3。</w:t>
            </w:r>
          </w:p>
          <w:p>
            <w:pPr>
              <w:adjustRightInd w:val="0"/>
              <w:snapToGrid w:val="0"/>
              <w:spacing w:line="360" w:lineRule="auto"/>
              <w:jc w:val="center"/>
              <w:rPr>
                <w:b/>
                <w:bCs/>
                <w:sz w:val="21"/>
                <w:szCs w:val="16"/>
              </w:rPr>
            </w:pPr>
            <w:r>
              <w:rPr>
                <w:b/>
                <w:bCs/>
                <w:sz w:val="21"/>
                <w:szCs w:val="16"/>
              </w:rPr>
              <w:t>表3-</w:t>
            </w:r>
            <w:r>
              <w:rPr>
                <w:rFonts w:hint="eastAsia"/>
                <w:b/>
                <w:bCs/>
                <w:sz w:val="21"/>
                <w:szCs w:val="16"/>
              </w:rPr>
              <w:t>5</w:t>
            </w:r>
            <w:r>
              <w:rPr>
                <w:b/>
                <w:bCs/>
                <w:sz w:val="21"/>
                <w:szCs w:val="16"/>
              </w:rPr>
              <w:t xml:space="preserve">   </w:t>
            </w:r>
            <w:r>
              <w:rPr>
                <w:rFonts w:hint="eastAsia"/>
                <w:b/>
                <w:bCs/>
                <w:sz w:val="21"/>
                <w:szCs w:val="16"/>
              </w:rPr>
              <w:t>项目污水处理厂</w:t>
            </w:r>
            <w:r>
              <w:rPr>
                <w:b/>
                <w:bCs/>
                <w:sz w:val="21"/>
                <w:szCs w:val="16"/>
              </w:rPr>
              <w:t>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50"/>
              <w:gridCol w:w="638"/>
              <w:gridCol w:w="842"/>
              <w:gridCol w:w="895"/>
              <w:gridCol w:w="875"/>
              <w:gridCol w:w="725"/>
              <w:gridCol w:w="825"/>
              <w:gridCol w:w="110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restart"/>
                  <w:vAlign w:val="center"/>
                </w:tcPr>
                <w:p>
                  <w:pPr>
                    <w:pStyle w:val="104"/>
                    <w:adjustRightInd w:val="0"/>
                    <w:snapToGrid w:val="0"/>
                    <w:spacing w:line="240" w:lineRule="auto"/>
                    <w:rPr>
                      <w:b/>
                      <w:bCs/>
                      <w:sz w:val="21"/>
                      <w:szCs w:val="21"/>
                    </w:rPr>
                  </w:pPr>
                  <w:r>
                    <w:rPr>
                      <w:b/>
                      <w:bCs/>
                      <w:sz w:val="21"/>
                      <w:szCs w:val="21"/>
                    </w:rPr>
                    <w:t>保护类别</w:t>
                  </w:r>
                </w:p>
              </w:tc>
              <w:tc>
                <w:tcPr>
                  <w:tcW w:w="650" w:type="dxa"/>
                  <w:vMerge w:val="restart"/>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项目</w:t>
                  </w:r>
                </w:p>
                <w:p>
                  <w:pPr>
                    <w:pStyle w:val="104"/>
                    <w:adjustRightInd w:val="0"/>
                    <w:snapToGrid w:val="0"/>
                    <w:spacing w:line="240" w:lineRule="auto"/>
                    <w:ind w:left="-170" w:leftChars="-71" w:right="-122" w:rightChars="-51"/>
                    <w:rPr>
                      <w:b/>
                      <w:bCs/>
                      <w:sz w:val="21"/>
                      <w:szCs w:val="21"/>
                    </w:rPr>
                  </w:pPr>
                  <w:r>
                    <w:rPr>
                      <w:rFonts w:hint="eastAsia"/>
                      <w:b/>
                      <w:bCs/>
                      <w:sz w:val="21"/>
                      <w:szCs w:val="21"/>
                    </w:rPr>
                    <w:t>名称</w:t>
                  </w:r>
                </w:p>
              </w:tc>
              <w:tc>
                <w:tcPr>
                  <w:tcW w:w="5900" w:type="dxa"/>
                  <w:gridSpan w:val="7"/>
                  <w:vAlign w:val="center"/>
                </w:tcPr>
                <w:p>
                  <w:pPr>
                    <w:pStyle w:val="104"/>
                    <w:adjustRightInd w:val="0"/>
                    <w:snapToGrid w:val="0"/>
                    <w:spacing w:line="240" w:lineRule="auto"/>
                    <w:rPr>
                      <w:b/>
                      <w:bCs/>
                      <w:sz w:val="21"/>
                      <w:szCs w:val="21"/>
                    </w:rPr>
                  </w:pPr>
                  <w:r>
                    <w:rPr>
                      <w:b/>
                      <w:bCs/>
                      <w:sz w:val="21"/>
                      <w:szCs w:val="21"/>
                    </w:rPr>
                    <w:t>环境保护目标基本情况</w:t>
                  </w:r>
                </w:p>
              </w:tc>
              <w:tc>
                <w:tcPr>
                  <w:tcW w:w="1335" w:type="dxa"/>
                  <w:vMerge w:val="restart"/>
                  <w:vAlign w:val="center"/>
                </w:tcPr>
                <w:p>
                  <w:pPr>
                    <w:pStyle w:val="104"/>
                    <w:adjustRightInd w:val="0"/>
                    <w:snapToGrid w:val="0"/>
                    <w:spacing w:line="240" w:lineRule="auto"/>
                    <w:rPr>
                      <w:b/>
                      <w:bCs/>
                      <w:sz w:val="21"/>
                      <w:szCs w:val="21"/>
                    </w:rPr>
                  </w:pPr>
                  <w:r>
                    <w:rPr>
                      <w:rFonts w:hint="eastAsia"/>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b/>
                      <w:bCs/>
                      <w:sz w:val="21"/>
                      <w:szCs w:val="21"/>
                    </w:rPr>
                  </w:pPr>
                </w:p>
              </w:tc>
              <w:tc>
                <w:tcPr>
                  <w:tcW w:w="650" w:type="dxa"/>
                  <w:vMerge w:val="continue"/>
                  <w:vAlign w:val="center"/>
                </w:tcPr>
                <w:p>
                  <w:pPr>
                    <w:pStyle w:val="104"/>
                    <w:adjustRightInd w:val="0"/>
                    <w:snapToGrid w:val="0"/>
                    <w:spacing w:line="240" w:lineRule="auto"/>
                    <w:rPr>
                      <w:b/>
                      <w:bCs/>
                      <w:sz w:val="21"/>
                      <w:szCs w:val="21"/>
                    </w:rPr>
                  </w:pPr>
                </w:p>
              </w:tc>
              <w:tc>
                <w:tcPr>
                  <w:tcW w:w="638" w:type="dxa"/>
                  <w:vMerge w:val="restart"/>
                  <w:vAlign w:val="center"/>
                </w:tcPr>
                <w:p>
                  <w:pPr>
                    <w:pStyle w:val="104"/>
                    <w:adjustRightInd w:val="0"/>
                    <w:snapToGrid w:val="0"/>
                    <w:spacing w:line="240" w:lineRule="auto"/>
                    <w:rPr>
                      <w:b/>
                      <w:bCs/>
                      <w:sz w:val="21"/>
                      <w:szCs w:val="21"/>
                    </w:rPr>
                  </w:pPr>
                  <w:r>
                    <w:rPr>
                      <w:rFonts w:hint="eastAsia"/>
                      <w:b/>
                      <w:bCs/>
                      <w:sz w:val="21"/>
                      <w:szCs w:val="21"/>
                    </w:rPr>
                    <w:t>名称</w:t>
                  </w:r>
                </w:p>
              </w:tc>
              <w:tc>
                <w:tcPr>
                  <w:tcW w:w="1737" w:type="dxa"/>
                  <w:gridSpan w:val="2"/>
                  <w:vAlign w:val="center"/>
                </w:tcPr>
                <w:p>
                  <w:pPr>
                    <w:pStyle w:val="104"/>
                    <w:adjustRightInd w:val="0"/>
                    <w:snapToGrid w:val="0"/>
                    <w:spacing w:line="240" w:lineRule="auto"/>
                    <w:rPr>
                      <w:b/>
                      <w:bCs/>
                      <w:sz w:val="21"/>
                      <w:szCs w:val="21"/>
                    </w:rPr>
                  </w:pPr>
                  <w:r>
                    <w:rPr>
                      <w:rFonts w:hint="eastAsia"/>
                      <w:b/>
                      <w:bCs/>
                      <w:sz w:val="21"/>
                      <w:szCs w:val="21"/>
                    </w:rPr>
                    <w:t>地理位置</w:t>
                  </w:r>
                </w:p>
              </w:tc>
              <w:tc>
                <w:tcPr>
                  <w:tcW w:w="875" w:type="dxa"/>
                  <w:vMerge w:val="restart"/>
                  <w:vAlign w:val="center"/>
                </w:tcPr>
                <w:p>
                  <w:pPr>
                    <w:pStyle w:val="104"/>
                    <w:adjustRightInd w:val="0"/>
                    <w:snapToGrid w:val="0"/>
                    <w:spacing w:line="240" w:lineRule="auto"/>
                    <w:rPr>
                      <w:b/>
                      <w:bCs/>
                      <w:sz w:val="21"/>
                      <w:szCs w:val="21"/>
                    </w:rPr>
                  </w:pPr>
                  <w:r>
                    <w:rPr>
                      <w:rFonts w:hint="eastAsia"/>
                      <w:b/>
                      <w:bCs/>
                      <w:sz w:val="21"/>
                      <w:szCs w:val="21"/>
                    </w:rPr>
                    <w:t>规模</w:t>
                  </w:r>
                </w:p>
              </w:tc>
              <w:tc>
                <w:tcPr>
                  <w:tcW w:w="725" w:type="dxa"/>
                  <w:vMerge w:val="restart"/>
                  <w:vAlign w:val="center"/>
                </w:tcPr>
                <w:p>
                  <w:pPr>
                    <w:pStyle w:val="104"/>
                    <w:adjustRightInd w:val="0"/>
                    <w:snapToGrid w:val="0"/>
                    <w:spacing w:line="240" w:lineRule="auto"/>
                    <w:rPr>
                      <w:b/>
                      <w:bCs/>
                      <w:sz w:val="21"/>
                      <w:szCs w:val="21"/>
                    </w:rPr>
                  </w:pPr>
                  <w:r>
                    <w:rPr>
                      <w:b/>
                      <w:bCs/>
                      <w:sz w:val="21"/>
                      <w:szCs w:val="21"/>
                    </w:rPr>
                    <w:t>方位</w:t>
                  </w:r>
                </w:p>
              </w:tc>
              <w:tc>
                <w:tcPr>
                  <w:tcW w:w="825" w:type="dxa"/>
                  <w:vMerge w:val="restart"/>
                  <w:vAlign w:val="center"/>
                </w:tcPr>
                <w:p>
                  <w:pPr>
                    <w:pStyle w:val="104"/>
                    <w:adjustRightInd w:val="0"/>
                    <w:snapToGrid w:val="0"/>
                    <w:spacing w:line="240" w:lineRule="auto"/>
                    <w:rPr>
                      <w:b/>
                      <w:bCs/>
                      <w:sz w:val="21"/>
                      <w:szCs w:val="21"/>
                    </w:rPr>
                  </w:pPr>
                  <w:r>
                    <w:rPr>
                      <w:b/>
                      <w:bCs/>
                      <w:sz w:val="21"/>
                      <w:szCs w:val="21"/>
                    </w:rPr>
                    <w:t>距离</w:t>
                  </w:r>
                  <w:r>
                    <w:rPr>
                      <w:rFonts w:hint="eastAsia"/>
                      <w:b/>
                      <w:bCs/>
                      <w:sz w:val="21"/>
                      <w:szCs w:val="21"/>
                    </w:rPr>
                    <w:t>（m）</w:t>
                  </w:r>
                </w:p>
              </w:tc>
              <w:tc>
                <w:tcPr>
                  <w:tcW w:w="1100" w:type="dxa"/>
                  <w:vMerge w:val="restart"/>
                  <w:vAlign w:val="center"/>
                </w:tcPr>
                <w:p>
                  <w:pPr>
                    <w:pStyle w:val="104"/>
                    <w:adjustRightInd w:val="0"/>
                    <w:snapToGrid w:val="0"/>
                    <w:spacing w:line="240" w:lineRule="auto"/>
                    <w:rPr>
                      <w:b/>
                      <w:bCs/>
                      <w:sz w:val="21"/>
                      <w:szCs w:val="21"/>
                    </w:rPr>
                  </w:pPr>
                  <w:r>
                    <w:rPr>
                      <w:rFonts w:hint="eastAsia"/>
                      <w:b/>
                      <w:bCs/>
                      <w:sz w:val="21"/>
                      <w:szCs w:val="21"/>
                    </w:rPr>
                    <w:t>功能</w:t>
                  </w:r>
                </w:p>
              </w:tc>
              <w:tc>
                <w:tcPr>
                  <w:tcW w:w="1335" w:type="dxa"/>
                  <w:vMerge w:val="continue"/>
                  <w:vAlign w:val="center"/>
                </w:tcPr>
                <w:p>
                  <w:pPr>
                    <w:pStyle w:val="104"/>
                    <w:adjustRightInd w:val="0"/>
                    <w:snapToGrid w:val="0"/>
                    <w:spacing w:line="240" w:lineRule="auto"/>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b/>
                      <w:bCs/>
                    </w:rPr>
                  </w:pPr>
                </w:p>
              </w:tc>
              <w:tc>
                <w:tcPr>
                  <w:tcW w:w="650" w:type="dxa"/>
                  <w:vMerge w:val="continue"/>
                  <w:vAlign w:val="center"/>
                </w:tcPr>
                <w:p>
                  <w:pPr>
                    <w:pStyle w:val="104"/>
                    <w:adjustRightInd w:val="0"/>
                    <w:snapToGrid w:val="0"/>
                    <w:spacing w:line="240" w:lineRule="auto"/>
                    <w:rPr>
                      <w:b/>
                      <w:bCs/>
                    </w:rPr>
                  </w:pPr>
                </w:p>
              </w:tc>
              <w:tc>
                <w:tcPr>
                  <w:tcW w:w="638" w:type="dxa"/>
                  <w:vMerge w:val="continue"/>
                  <w:vAlign w:val="center"/>
                </w:tcPr>
                <w:p>
                  <w:pPr>
                    <w:pStyle w:val="104"/>
                    <w:adjustRightInd w:val="0"/>
                    <w:snapToGrid w:val="0"/>
                    <w:spacing w:line="240" w:lineRule="auto"/>
                    <w:rPr>
                      <w:b/>
                      <w:bCs/>
                    </w:rPr>
                  </w:pPr>
                </w:p>
              </w:tc>
              <w:tc>
                <w:tcPr>
                  <w:tcW w:w="842" w:type="dxa"/>
                  <w:vAlign w:val="center"/>
                </w:tcPr>
                <w:p>
                  <w:pPr>
                    <w:pStyle w:val="104"/>
                    <w:adjustRightInd w:val="0"/>
                    <w:snapToGrid w:val="0"/>
                    <w:spacing w:line="240" w:lineRule="auto"/>
                    <w:rPr>
                      <w:b/>
                      <w:bCs/>
                      <w:sz w:val="21"/>
                      <w:szCs w:val="21"/>
                    </w:rPr>
                  </w:pPr>
                  <w:r>
                    <w:rPr>
                      <w:rFonts w:hint="eastAsia"/>
                      <w:b/>
                      <w:bCs/>
                      <w:sz w:val="21"/>
                      <w:szCs w:val="21"/>
                    </w:rPr>
                    <w:t>经度</w:t>
                  </w:r>
                </w:p>
              </w:tc>
              <w:tc>
                <w:tcPr>
                  <w:tcW w:w="895" w:type="dxa"/>
                  <w:vAlign w:val="center"/>
                </w:tcPr>
                <w:p>
                  <w:pPr>
                    <w:pStyle w:val="104"/>
                    <w:adjustRightInd w:val="0"/>
                    <w:snapToGrid w:val="0"/>
                    <w:spacing w:line="240" w:lineRule="auto"/>
                    <w:rPr>
                      <w:b/>
                      <w:bCs/>
                      <w:sz w:val="21"/>
                      <w:szCs w:val="21"/>
                    </w:rPr>
                  </w:pPr>
                  <w:r>
                    <w:rPr>
                      <w:rFonts w:hint="eastAsia"/>
                      <w:b/>
                      <w:bCs/>
                      <w:sz w:val="21"/>
                      <w:szCs w:val="21"/>
                    </w:rPr>
                    <w:t>纬度</w:t>
                  </w:r>
                </w:p>
              </w:tc>
              <w:tc>
                <w:tcPr>
                  <w:tcW w:w="875" w:type="dxa"/>
                  <w:vMerge w:val="continue"/>
                  <w:vAlign w:val="center"/>
                </w:tcPr>
                <w:p>
                  <w:pPr>
                    <w:pStyle w:val="104"/>
                    <w:adjustRightInd w:val="0"/>
                    <w:snapToGrid w:val="0"/>
                    <w:spacing w:line="240" w:lineRule="auto"/>
                    <w:rPr>
                      <w:b/>
                      <w:bCs/>
                      <w:sz w:val="21"/>
                      <w:szCs w:val="21"/>
                    </w:rPr>
                  </w:pPr>
                </w:p>
              </w:tc>
              <w:tc>
                <w:tcPr>
                  <w:tcW w:w="725" w:type="dxa"/>
                  <w:vMerge w:val="continue"/>
                  <w:vAlign w:val="center"/>
                </w:tcPr>
                <w:p>
                  <w:pPr>
                    <w:pStyle w:val="104"/>
                    <w:adjustRightInd w:val="0"/>
                    <w:snapToGrid w:val="0"/>
                    <w:spacing w:line="240" w:lineRule="auto"/>
                    <w:rPr>
                      <w:b/>
                      <w:bCs/>
                      <w:sz w:val="21"/>
                      <w:szCs w:val="21"/>
                    </w:rPr>
                  </w:pPr>
                </w:p>
              </w:tc>
              <w:tc>
                <w:tcPr>
                  <w:tcW w:w="825" w:type="dxa"/>
                  <w:vMerge w:val="continue"/>
                  <w:vAlign w:val="center"/>
                </w:tcPr>
                <w:p>
                  <w:pPr>
                    <w:pStyle w:val="104"/>
                    <w:adjustRightInd w:val="0"/>
                    <w:snapToGrid w:val="0"/>
                    <w:spacing w:line="240" w:lineRule="auto"/>
                    <w:rPr>
                      <w:b/>
                      <w:bCs/>
                      <w:sz w:val="21"/>
                      <w:szCs w:val="21"/>
                    </w:rPr>
                  </w:pPr>
                </w:p>
              </w:tc>
              <w:tc>
                <w:tcPr>
                  <w:tcW w:w="1100" w:type="dxa"/>
                  <w:vMerge w:val="continue"/>
                  <w:vAlign w:val="center"/>
                </w:tcPr>
                <w:p>
                  <w:pPr>
                    <w:pStyle w:val="104"/>
                    <w:adjustRightInd w:val="0"/>
                    <w:snapToGrid w:val="0"/>
                    <w:spacing w:line="240" w:lineRule="auto"/>
                    <w:rPr>
                      <w:b/>
                      <w:bCs/>
                    </w:rPr>
                  </w:pPr>
                </w:p>
              </w:tc>
              <w:tc>
                <w:tcPr>
                  <w:tcW w:w="1335" w:type="dxa"/>
                  <w:vMerge w:val="continue"/>
                  <w:vAlign w:val="center"/>
                </w:tcPr>
                <w:p>
                  <w:pPr>
                    <w:pStyle w:val="104"/>
                    <w:adjustRightInd w:val="0"/>
                    <w:snapToGrid w:val="0"/>
                    <w:spacing w:line="24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restart"/>
                  <w:vAlign w:val="center"/>
                </w:tcPr>
                <w:p>
                  <w:pPr>
                    <w:pStyle w:val="104"/>
                    <w:adjustRightInd w:val="0"/>
                    <w:snapToGrid w:val="0"/>
                    <w:spacing w:line="240" w:lineRule="auto"/>
                    <w:rPr>
                      <w:sz w:val="21"/>
                      <w:szCs w:val="21"/>
                    </w:rPr>
                  </w:pPr>
                  <w:r>
                    <w:rPr>
                      <w:sz w:val="21"/>
                      <w:szCs w:val="21"/>
                    </w:rPr>
                    <w:t>大气环境</w:t>
                  </w:r>
                </w:p>
              </w:tc>
              <w:tc>
                <w:tcPr>
                  <w:tcW w:w="650" w:type="dxa"/>
                  <w:vMerge w:val="restart"/>
                  <w:vAlign w:val="center"/>
                </w:tcPr>
                <w:p>
                  <w:pPr>
                    <w:pStyle w:val="104"/>
                    <w:adjustRightInd w:val="0"/>
                    <w:snapToGrid w:val="0"/>
                    <w:spacing w:line="240" w:lineRule="auto"/>
                    <w:rPr>
                      <w:sz w:val="21"/>
                      <w:szCs w:val="21"/>
                    </w:rPr>
                  </w:pPr>
                  <w:r>
                    <w:rPr>
                      <w:rFonts w:hint="eastAsia"/>
                      <w:sz w:val="21"/>
                      <w:szCs w:val="21"/>
                    </w:rPr>
                    <w:t>邓川污水厂</w:t>
                  </w:r>
                </w:p>
              </w:tc>
              <w:tc>
                <w:tcPr>
                  <w:tcW w:w="638" w:type="dxa"/>
                  <w:vAlign w:val="center"/>
                </w:tcPr>
                <w:p>
                  <w:pPr>
                    <w:pStyle w:val="104"/>
                    <w:adjustRightInd w:val="0"/>
                    <w:snapToGrid w:val="0"/>
                    <w:spacing w:line="240" w:lineRule="auto"/>
                    <w:rPr>
                      <w:sz w:val="21"/>
                      <w:szCs w:val="21"/>
                    </w:rPr>
                  </w:pPr>
                  <w:r>
                    <w:rPr>
                      <w:rFonts w:hint="eastAsia"/>
                      <w:sz w:val="21"/>
                      <w:szCs w:val="21"/>
                    </w:rPr>
                    <w:t>黄家营</w:t>
                  </w:r>
                </w:p>
              </w:tc>
              <w:tc>
                <w:tcPr>
                  <w:tcW w:w="842" w:type="dxa"/>
                  <w:vAlign w:val="center"/>
                </w:tcPr>
                <w:p>
                  <w:pPr>
                    <w:pStyle w:val="104"/>
                    <w:adjustRightInd w:val="0"/>
                    <w:snapToGrid w:val="0"/>
                    <w:spacing w:line="240" w:lineRule="auto"/>
                    <w:rPr>
                      <w:sz w:val="21"/>
                      <w:szCs w:val="21"/>
                    </w:rPr>
                  </w:pPr>
                  <w:r>
                    <w:rPr>
                      <w:rFonts w:hint="eastAsia"/>
                      <w:sz w:val="21"/>
                      <w:szCs w:val="21"/>
                    </w:rPr>
                    <w:t>100.097391</w:t>
                  </w:r>
                </w:p>
              </w:tc>
              <w:tc>
                <w:tcPr>
                  <w:tcW w:w="895" w:type="dxa"/>
                  <w:vAlign w:val="center"/>
                </w:tcPr>
                <w:p>
                  <w:pPr>
                    <w:pStyle w:val="104"/>
                    <w:adjustRightInd w:val="0"/>
                    <w:snapToGrid w:val="0"/>
                    <w:spacing w:line="240" w:lineRule="auto"/>
                    <w:rPr>
                      <w:sz w:val="21"/>
                      <w:szCs w:val="21"/>
                    </w:rPr>
                  </w:pPr>
                  <w:r>
                    <w:rPr>
                      <w:rFonts w:hint="eastAsia"/>
                      <w:sz w:val="21"/>
                      <w:szCs w:val="21"/>
                    </w:rPr>
                    <w:t>25.988741</w:t>
                  </w:r>
                </w:p>
              </w:tc>
              <w:tc>
                <w:tcPr>
                  <w:tcW w:w="875" w:type="dxa"/>
                  <w:vAlign w:val="center"/>
                </w:tcPr>
                <w:p>
                  <w:pPr>
                    <w:pStyle w:val="104"/>
                    <w:adjustRightInd w:val="0"/>
                    <w:snapToGrid w:val="0"/>
                    <w:spacing w:line="240" w:lineRule="auto"/>
                    <w:rPr>
                      <w:sz w:val="21"/>
                      <w:szCs w:val="21"/>
                    </w:rPr>
                  </w:pPr>
                  <w:r>
                    <w:rPr>
                      <w:rFonts w:hint="eastAsia"/>
                      <w:sz w:val="21"/>
                      <w:szCs w:val="21"/>
                    </w:rPr>
                    <w:t>15户，45人</w:t>
                  </w:r>
                </w:p>
              </w:tc>
              <w:tc>
                <w:tcPr>
                  <w:tcW w:w="725" w:type="dxa"/>
                  <w:vAlign w:val="center"/>
                </w:tcPr>
                <w:p>
                  <w:pPr>
                    <w:pStyle w:val="104"/>
                    <w:adjustRightInd w:val="0"/>
                    <w:snapToGrid w:val="0"/>
                    <w:spacing w:line="240" w:lineRule="auto"/>
                    <w:rPr>
                      <w:sz w:val="21"/>
                      <w:szCs w:val="21"/>
                    </w:rPr>
                  </w:pPr>
                  <w:r>
                    <w:rPr>
                      <w:rFonts w:hint="eastAsia"/>
                      <w:sz w:val="21"/>
                      <w:szCs w:val="21"/>
                    </w:rPr>
                    <w:t>西北</w:t>
                  </w:r>
                </w:p>
              </w:tc>
              <w:tc>
                <w:tcPr>
                  <w:tcW w:w="825" w:type="dxa"/>
                  <w:vAlign w:val="center"/>
                </w:tcPr>
                <w:p>
                  <w:pPr>
                    <w:pStyle w:val="104"/>
                    <w:adjustRightInd w:val="0"/>
                    <w:snapToGrid w:val="0"/>
                    <w:spacing w:line="240" w:lineRule="auto"/>
                    <w:rPr>
                      <w:sz w:val="21"/>
                      <w:szCs w:val="21"/>
                    </w:rPr>
                  </w:pPr>
                  <w:r>
                    <w:rPr>
                      <w:rFonts w:hint="eastAsia"/>
                      <w:sz w:val="21"/>
                      <w:szCs w:val="21"/>
                    </w:rPr>
                    <w:t>约50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restart"/>
                  <w:vAlign w:val="center"/>
                </w:tcPr>
                <w:p>
                  <w:pPr>
                    <w:pStyle w:val="104"/>
                    <w:adjustRightInd w:val="0"/>
                    <w:snapToGrid w:val="0"/>
                    <w:spacing w:line="240" w:lineRule="auto"/>
                    <w:rPr>
                      <w:sz w:val="21"/>
                      <w:szCs w:val="21"/>
                    </w:rPr>
                  </w:pPr>
                  <w:r>
                    <w:rPr>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莲河村</w:t>
                  </w:r>
                </w:p>
              </w:tc>
              <w:tc>
                <w:tcPr>
                  <w:tcW w:w="842" w:type="dxa"/>
                  <w:vAlign w:val="center"/>
                </w:tcPr>
                <w:p>
                  <w:pPr>
                    <w:pStyle w:val="104"/>
                    <w:adjustRightInd w:val="0"/>
                    <w:snapToGrid w:val="0"/>
                    <w:spacing w:line="240" w:lineRule="auto"/>
                    <w:rPr>
                      <w:sz w:val="21"/>
                      <w:szCs w:val="21"/>
                    </w:rPr>
                  </w:pPr>
                  <w:r>
                    <w:rPr>
                      <w:rFonts w:hint="eastAsia"/>
                      <w:sz w:val="21"/>
                      <w:szCs w:val="21"/>
                    </w:rPr>
                    <w:t>100.093131</w:t>
                  </w:r>
                </w:p>
              </w:tc>
              <w:tc>
                <w:tcPr>
                  <w:tcW w:w="895" w:type="dxa"/>
                  <w:vAlign w:val="center"/>
                </w:tcPr>
                <w:p>
                  <w:pPr>
                    <w:pStyle w:val="104"/>
                    <w:adjustRightInd w:val="0"/>
                    <w:snapToGrid w:val="0"/>
                    <w:spacing w:line="240" w:lineRule="auto"/>
                    <w:rPr>
                      <w:sz w:val="21"/>
                      <w:szCs w:val="21"/>
                    </w:rPr>
                  </w:pPr>
                  <w:r>
                    <w:rPr>
                      <w:rFonts w:hint="eastAsia"/>
                      <w:sz w:val="21"/>
                      <w:szCs w:val="21"/>
                    </w:rPr>
                    <w:t>25.989106</w:t>
                  </w:r>
                </w:p>
              </w:tc>
              <w:tc>
                <w:tcPr>
                  <w:tcW w:w="875" w:type="dxa"/>
                  <w:vAlign w:val="center"/>
                </w:tcPr>
                <w:p>
                  <w:pPr>
                    <w:pStyle w:val="104"/>
                    <w:adjustRightInd w:val="0"/>
                    <w:snapToGrid w:val="0"/>
                    <w:spacing w:line="240" w:lineRule="auto"/>
                    <w:rPr>
                      <w:sz w:val="21"/>
                      <w:szCs w:val="21"/>
                    </w:rPr>
                  </w:pPr>
                  <w:r>
                    <w:rPr>
                      <w:rFonts w:hint="eastAsia"/>
                      <w:sz w:val="21"/>
                      <w:szCs w:val="21"/>
                    </w:rPr>
                    <w:t>120户，360人</w:t>
                  </w:r>
                </w:p>
              </w:tc>
              <w:tc>
                <w:tcPr>
                  <w:tcW w:w="725" w:type="dxa"/>
                  <w:vAlign w:val="center"/>
                </w:tcPr>
                <w:p>
                  <w:pPr>
                    <w:pStyle w:val="104"/>
                    <w:adjustRightInd w:val="0"/>
                    <w:snapToGrid w:val="0"/>
                    <w:spacing w:line="240" w:lineRule="auto"/>
                    <w:rPr>
                      <w:sz w:val="21"/>
                      <w:szCs w:val="21"/>
                    </w:rPr>
                  </w:pPr>
                  <w:r>
                    <w:rPr>
                      <w:rFonts w:hint="eastAsia"/>
                      <w:sz w:val="21"/>
                      <w:szCs w:val="21"/>
                    </w:rPr>
                    <w:t>西北</w:t>
                  </w:r>
                </w:p>
              </w:tc>
              <w:tc>
                <w:tcPr>
                  <w:tcW w:w="825" w:type="dxa"/>
                  <w:vAlign w:val="center"/>
                </w:tcPr>
                <w:p>
                  <w:pPr>
                    <w:pStyle w:val="104"/>
                    <w:adjustRightInd w:val="0"/>
                    <w:snapToGrid w:val="0"/>
                    <w:spacing w:line="240" w:lineRule="auto"/>
                    <w:rPr>
                      <w:sz w:val="21"/>
                      <w:szCs w:val="21"/>
                    </w:rPr>
                  </w:pPr>
                  <w:r>
                    <w:rPr>
                      <w:rFonts w:hint="eastAsia"/>
                      <w:sz w:val="21"/>
                      <w:szCs w:val="21"/>
                    </w:rPr>
                    <w:t>约400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湖潭寺</w:t>
                  </w:r>
                </w:p>
              </w:tc>
              <w:tc>
                <w:tcPr>
                  <w:tcW w:w="842" w:type="dxa"/>
                  <w:vAlign w:val="center"/>
                </w:tcPr>
                <w:p>
                  <w:pPr>
                    <w:pStyle w:val="104"/>
                    <w:adjustRightInd w:val="0"/>
                    <w:snapToGrid w:val="0"/>
                    <w:spacing w:line="240" w:lineRule="auto"/>
                    <w:rPr>
                      <w:sz w:val="21"/>
                      <w:szCs w:val="21"/>
                    </w:rPr>
                  </w:pPr>
                  <w:r>
                    <w:rPr>
                      <w:rFonts w:hint="eastAsia"/>
                      <w:sz w:val="21"/>
                      <w:szCs w:val="21"/>
                    </w:rPr>
                    <w:t>100.100725</w:t>
                  </w:r>
                </w:p>
              </w:tc>
              <w:tc>
                <w:tcPr>
                  <w:tcW w:w="895" w:type="dxa"/>
                  <w:vAlign w:val="center"/>
                </w:tcPr>
                <w:p>
                  <w:pPr>
                    <w:pStyle w:val="104"/>
                    <w:adjustRightInd w:val="0"/>
                    <w:snapToGrid w:val="0"/>
                    <w:spacing w:line="240" w:lineRule="auto"/>
                    <w:rPr>
                      <w:sz w:val="21"/>
                      <w:szCs w:val="21"/>
                    </w:rPr>
                  </w:pPr>
                  <w:r>
                    <w:rPr>
                      <w:rFonts w:hint="eastAsia"/>
                      <w:sz w:val="21"/>
                      <w:szCs w:val="21"/>
                    </w:rPr>
                    <w:t>25.984297</w:t>
                  </w:r>
                </w:p>
              </w:tc>
              <w:tc>
                <w:tcPr>
                  <w:tcW w:w="875" w:type="dxa"/>
                  <w:vAlign w:val="center"/>
                </w:tcPr>
                <w:p>
                  <w:pPr>
                    <w:pStyle w:val="104"/>
                    <w:adjustRightInd w:val="0"/>
                    <w:snapToGrid w:val="0"/>
                    <w:spacing w:line="240" w:lineRule="auto"/>
                    <w:rPr>
                      <w:sz w:val="21"/>
                      <w:szCs w:val="21"/>
                    </w:rPr>
                  </w:pPr>
                  <w:r>
                    <w:rPr>
                      <w:rFonts w:hint="eastAsia"/>
                      <w:sz w:val="21"/>
                      <w:szCs w:val="21"/>
                    </w:rPr>
                    <w:t>90户，270人</w:t>
                  </w:r>
                </w:p>
              </w:tc>
              <w:tc>
                <w:tcPr>
                  <w:tcW w:w="725" w:type="dxa"/>
                  <w:vAlign w:val="center"/>
                </w:tcPr>
                <w:p>
                  <w:pPr>
                    <w:pStyle w:val="104"/>
                    <w:adjustRightInd w:val="0"/>
                    <w:snapToGrid w:val="0"/>
                    <w:spacing w:line="240" w:lineRule="auto"/>
                    <w:rPr>
                      <w:sz w:val="21"/>
                      <w:szCs w:val="21"/>
                    </w:rPr>
                  </w:pPr>
                  <w:r>
                    <w:rPr>
                      <w:rFonts w:hint="eastAsia"/>
                      <w:sz w:val="21"/>
                      <w:szCs w:val="21"/>
                    </w:rPr>
                    <w:t>东南</w:t>
                  </w:r>
                </w:p>
              </w:tc>
              <w:tc>
                <w:tcPr>
                  <w:tcW w:w="825" w:type="dxa"/>
                  <w:vAlign w:val="center"/>
                </w:tcPr>
                <w:p>
                  <w:pPr>
                    <w:pStyle w:val="104"/>
                    <w:adjustRightInd w:val="0"/>
                    <w:snapToGrid w:val="0"/>
                    <w:spacing w:line="240" w:lineRule="auto"/>
                    <w:rPr>
                      <w:sz w:val="21"/>
                      <w:szCs w:val="21"/>
                    </w:rPr>
                  </w:pPr>
                  <w:r>
                    <w:rPr>
                      <w:rFonts w:hint="eastAsia"/>
                      <w:sz w:val="21"/>
                      <w:szCs w:val="21"/>
                    </w:rPr>
                    <w:t>约420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restart"/>
                  <w:vAlign w:val="center"/>
                </w:tcPr>
                <w:p>
                  <w:pPr>
                    <w:pStyle w:val="104"/>
                    <w:adjustRightInd w:val="0"/>
                    <w:snapToGrid w:val="0"/>
                    <w:spacing w:line="240" w:lineRule="auto"/>
                    <w:rPr>
                      <w:sz w:val="21"/>
                      <w:szCs w:val="21"/>
                    </w:rPr>
                  </w:pPr>
                  <w:r>
                    <w:rPr>
                      <w:rFonts w:hint="eastAsia"/>
                      <w:sz w:val="21"/>
                      <w:szCs w:val="21"/>
                    </w:rPr>
                    <w:t>右所污水厂</w:t>
                  </w:r>
                </w:p>
              </w:tc>
              <w:tc>
                <w:tcPr>
                  <w:tcW w:w="638" w:type="dxa"/>
                  <w:vAlign w:val="center"/>
                </w:tcPr>
                <w:p>
                  <w:pPr>
                    <w:pStyle w:val="104"/>
                    <w:adjustRightInd w:val="0"/>
                    <w:snapToGrid w:val="0"/>
                    <w:spacing w:line="240" w:lineRule="auto"/>
                    <w:rPr>
                      <w:sz w:val="21"/>
                      <w:szCs w:val="21"/>
                    </w:rPr>
                  </w:pPr>
                  <w:r>
                    <w:rPr>
                      <w:rFonts w:hint="eastAsia"/>
                      <w:sz w:val="21"/>
                      <w:szCs w:val="21"/>
                    </w:rPr>
                    <w:t>银后村</w:t>
                  </w:r>
                </w:p>
              </w:tc>
              <w:tc>
                <w:tcPr>
                  <w:tcW w:w="842" w:type="dxa"/>
                  <w:vAlign w:val="center"/>
                </w:tcPr>
                <w:p>
                  <w:pPr>
                    <w:pStyle w:val="104"/>
                    <w:adjustRightInd w:val="0"/>
                    <w:snapToGrid w:val="0"/>
                    <w:spacing w:line="240" w:lineRule="auto"/>
                    <w:rPr>
                      <w:sz w:val="21"/>
                      <w:szCs w:val="21"/>
                    </w:rPr>
                  </w:pPr>
                  <w:r>
                    <w:rPr>
                      <w:rFonts w:hint="eastAsia"/>
                      <w:sz w:val="21"/>
                      <w:szCs w:val="21"/>
                    </w:rPr>
                    <w:t>100.055377</w:t>
                  </w:r>
                </w:p>
              </w:tc>
              <w:tc>
                <w:tcPr>
                  <w:tcW w:w="895" w:type="dxa"/>
                  <w:vAlign w:val="center"/>
                </w:tcPr>
                <w:p>
                  <w:pPr>
                    <w:pStyle w:val="104"/>
                    <w:adjustRightInd w:val="0"/>
                    <w:snapToGrid w:val="0"/>
                    <w:spacing w:line="240" w:lineRule="auto"/>
                    <w:rPr>
                      <w:sz w:val="21"/>
                      <w:szCs w:val="21"/>
                    </w:rPr>
                  </w:pPr>
                  <w:r>
                    <w:rPr>
                      <w:rFonts w:hint="eastAsia"/>
                      <w:sz w:val="21"/>
                      <w:szCs w:val="21"/>
                    </w:rPr>
                    <w:t>26.017275</w:t>
                  </w:r>
                </w:p>
              </w:tc>
              <w:tc>
                <w:tcPr>
                  <w:tcW w:w="875" w:type="dxa"/>
                  <w:vAlign w:val="center"/>
                </w:tcPr>
                <w:p>
                  <w:pPr>
                    <w:pStyle w:val="104"/>
                    <w:adjustRightInd w:val="0"/>
                    <w:snapToGrid w:val="0"/>
                    <w:spacing w:line="240" w:lineRule="auto"/>
                    <w:rPr>
                      <w:sz w:val="21"/>
                      <w:szCs w:val="21"/>
                    </w:rPr>
                  </w:pPr>
                  <w:r>
                    <w:rPr>
                      <w:rFonts w:hint="eastAsia"/>
                      <w:sz w:val="21"/>
                      <w:szCs w:val="21"/>
                    </w:rPr>
                    <w:t>112户，336人</w:t>
                  </w:r>
                </w:p>
              </w:tc>
              <w:tc>
                <w:tcPr>
                  <w:tcW w:w="725" w:type="dxa"/>
                  <w:vAlign w:val="center"/>
                </w:tcPr>
                <w:p>
                  <w:pPr>
                    <w:pStyle w:val="104"/>
                    <w:adjustRightInd w:val="0"/>
                    <w:snapToGrid w:val="0"/>
                    <w:spacing w:line="240" w:lineRule="auto"/>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约246</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跃进</w:t>
                  </w:r>
                </w:p>
              </w:tc>
              <w:tc>
                <w:tcPr>
                  <w:tcW w:w="842" w:type="dxa"/>
                  <w:vAlign w:val="center"/>
                </w:tcPr>
                <w:p>
                  <w:pPr>
                    <w:pStyle w:val="104"/>
                    <w:adjustRightInd w:val="0"/>
                    <w:snapToGrid w:val="0"/>
                    <w:spacing w:line="240" w:lineRule="auto"/>
                    <w:rPr>
                      <w:sz w:val="21"/>
                      <w:szCs w:val="21"/>
                    </w:rPr>
                  </w:pPr>
                  <w:r>
                    <w:rPr>
                      <w:rFonts w:hint="eastAsia"/>
                      <w:sz w:val="21"/>
                      <w:szCs w:val="21"/>
                    </w:rPr>
                    <w:t>100.056471</w:t>
                  </w:r>
                </w:p>
              </w:tc>
              <w:tc>
                <w:tcPr>
                  <w:tcW w:w="895" w:type="dxa"/>
                  <w:vAlign w:val="center"/>
                </w:tcPr>
                <w:p>
                  <w:pPr>
                    <w:pStyle w:val="104"/>
                    <w:adjustRightInd w:val="0"/>
                    <w:snapToGrid w:val="0"/>
                    <w:spacing w:line="240" w:lineRule="auto"/>
                    <w:rPr>
                      <w:sz w:val="21"/>
                      <w:szCs w:val="21"/>
                    </w:rPr>
                  </w:pPr>
                  <w:r>
                    <w:rPr>
                      <w:rFonts w:hint="eastAsia"/>
                      <w:sz w:val="21"/>
                      <w:szCs w:val="21"/>
                    </w:rPr>
                    <w:t>26.019023</w:t>
                  </w:r>
                </w:p>
              </w:tc>
              <w:tc>
                <w:tcPr>
                  <w:tcW w:w="875" w:type="dxa"/>
                  <w:vAlign w:val="center"/>
                </w:tcPr>
                <w:p>
                  <w:pPr>
                    <w:pStyle w:val="104"/>
                    <w:adjustRightInd w:val="0"/>
                    <w:snapToGrid w:val="0"/>
                    <w:spacing w:line="240" w:lineRule="auto"/>
                    <w:rPr>
                      <w:sz w:val="21"/>
                      <w:szCs w:val="21"/>
                    </w:rPr>
                  </w:pPr>
                  <w:r>
                    <w:rPr>
                      <w:rFonts w:hint="eastAsia"/>
                      <w:sz w:val="21"/>
                      <w:szCs w:val="21"/>
                    </w:rPr>
                    <w:t>187户，562人</w:t>
                  </w:r>
                </w:p>
              </w:tc>
              <w:tc>
                <w:tcPr>
                  <w:tcW w:w="725" w:type="dxa"/>
                  <w:vAlign w:val="center"/>
                </w:tcPr>
                <w:p>
                  <w:pPr>
                    <w:pStyle w:val="104"/>
                    <w:adjustRightInd w:val="0"/>
                    <w:snapToGrid w:val="0"/>
                    <w:spacing w:line="240" w:lineRule="auto"/>
                    <w:rPr>
                      <w:sz w:val="21"/>
                      <w:szCs w:val="21"/>
                    </w:rPr>
                  </w:pPr>
                  <w:r>
                    <w:rPr>
                      <w:rFonts w:hint="eastAsia"/>
                      <w:sz w:val="21"/>
                      <w:szCs w:val="21"/>
                    </w:rPr>
                    <w:t>东北</w:t>
                  </w:r>
                </w:p>
              </w:tc>
              <w:tc>
                <w:tcPr>
                  <w:tcW w:w="825" w:type="dxa"/>
                  <w:vAlign w:val="center"/>
                </w:tcPr>
                <w:p>
                  <w:pPr>
                    <w:pStyle w:val="104"/>
                    <w:adjustRightInd w:val="0"/>
                    <w:snapToGrid w:val="0"/>
                    <w:spacing w:line="240" w:lineRule="auto"/>
                    <w:rPr>
                      <w:sz w:val="21"/>
                      <w:szCs w:val="21"/>
                    </w:rPr>
                  </w:pPr>
                  <w:r>
                    <w:rPr>
                      <w:rFonts w:hint="eastAsia"/>
                      <w:sz w:val="21"/>
                      <w:szCs w:val="21"/>
                    </w:rPr>
                    <w:t>约440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官德村</w:t>
                  </w:r>
                </w:p>
              </w:tc>
              <w:tc>
                <w:tcPr>
                  <w:tcW w:w="842" w:type="dxa"/>
                  <w:vAlign w:val="center"/>
                </w:tcPr>
                <w:p>
                  <w:pPr>
                    <w:pStyle w:val="104"/>
                    <w:adjustRightInd w:val="0"/>
                    <w:snapToGrid w:val="0"/>
                    <w:spacing w:line="240" w:lineRule="auto"/>
                    <w:rPr>
                      <w:sz w:val="21"/>
                      <w:szCs w:val="21"/>
                    </w:rPr>
                  </w:pPr>
                  <w:r>
                    <w:rPr>
                      <w:rFonts w:hint="eastAsia"/>
                      <w:sz w:val="21"/>
                      <w:szCs w:val="21"/>
                    </w:rPr>
                    <w:t>100.053295</w:t>
                  </w:r>
                </w:p>
              </w:tc>
              <w:tc>
                <w:tcPr>
                  <w:tcW w:w="895" w:type="dxa"/>
                  <w:vAlign w:val="center"/>
                </w:tcPr>
                <w:p>
                  <w:pPr>
                    <w:pStyle w:val="104"/>
                    <w:adjustRightInd w:val="0"/>
                    <w:snapToGrid w:val="0"/>
                    <w:spacing w:line="240" w:lineRule="auto"/>
                    <w:rPr>
                      <w:sz w:val="21"/>
                      <w:szCs w:val="21"/>
                    </w:rPr>
                  </w:pPr>
                  <w:r>
                    <w:rPr>
                      <w:rFonts w:hint="eastAsia"/>
                      <w:sz w:val="21"/>
                      <w:szCs w:val="21"/>
                    </w:rPr>
                    <w:t>26.019785</w:t>
                  </w:r>
                </w:p>
              </w:tc>
              <w:tc>
                <w:tcPr>
                  <w:tcW w:w="875" w:type="dxa"/>
                  <w:vAlign w:val="center"/>
                </w:tcPr>
                <w:p>
                  <w:pPr>
                    <w:pStyle w:val="104"/>
                    <w:adjustRightInd w:val="0"/>
                    <w:snapToGrid w:val="0"/>
                    <w:spacing w:line="240" w:lineRule="auto"/>
                    <w:rPr>
                      <w:sz w:val="21"/>
                      <w:szCs w:val="21"/>
                    </w:rPr>
                  </w:pPr>
                  <w:r>
                    <w:rPr>
                      <w:rFonts w:hint="eastAsia"/>
                      <w:sz w:val="21"/>
                      <w:szCs w:val="21"/>
                    </w:rPr>
                    <w:t>210户，630人</w:t>
                  </w:r>
                </w:p>
              </w:tc>
              <w:tc>
                <w:tcPr>
                  <w:tcW w:w="725" w:type="dxa"/>
                  <w:vAlign w:val="center"/>
                </w:tcPr>
                <w:p>
                  <w:pPr>
                    <w:pStyle w:val="104"/>
                    <w:adjustRightInd w:val="0"/>
                    <w:snapToGrid w:val="0"/>
                    <w:spacing w:line="240" w:lineRule="auto"/>
                    <w:rPr>
                      <w:sz w:val="21"/>
                      <w:szCs w:val="21"/>
                    </w:rPr>
                  </w:pPr>
                  <w:r>
                    <w:rPr>
                      <w:rFonts w:hint="eastAsia"/>
                      <w:sz w:val="21"/>
                      <w:szCs w:val="21"/>
                    </w:rPr>
                    <w:t>北</w:t>
                  </w:r>
                </w:p>
              </w:tc>
              <w:tc>
                <w:tcPr>
                  <w:tcW w:w="825" w:type="dxa"/>
                  <w:vAlign w:val="center"/>
                </w:tcPr>
                <w:p>
                  <w:pPr>
                    <w:pStyle w:val="104"/>
                    <w:adjustRightInd w:val="0"/>
                    <w:snapToGrid w:val="0"/>
                    <w:spacing w:line="240" w:lineRule="auto"/>
                    <w:rPr>
                      <w:sz w:val="21"/>
                      <w:szCs w:val="21"/>
                    </w:rPr>
                  </w:pPr>
                  <w:r>
                    <w:rPr>
                      <w:rFonts w:hint="eastAsia"/>
                      <w:sz w:val="21"/>
                      <w:szCs w:val="21"/>
                    </w:rPr>
                    <w:t>约348</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李家营</w:t>
                  </w:r>
                </w:p>
              </w:tc>
              <w:tc>
                <w:tcPr>
                  <w:tcW w:w="842" w:type="dxa"/>
                  <w:vAlign w:val="center"/>
                </w:tcPr>
                <w:p>
                  <w:pPr>
                    <w:pStyle w:val="104"/>
                    <w:adjustRightInd w:val="0"/>
                    <w:snapToGrid w:val="0"/>
                    <w:spacing w:line="240" w:lineRule="auto"/>
                    <w:rPr>
                      <w:sz w:val="21"/>
                      <w:szCs w:val="21"/>
                    </w:rPr>
                  </w:pPr>
                  <w:r>
                    <w:rPr>
                      <w:rFonts w:hint="eastAsia"/>
                      <w:sz w:val="21"/>
                      <w:szCs w:val="21"/>
                    </w:rPr>
                    <w:t>100.058037</w:t>
                  </w:r>
                </w:p>
              </w:tc>
              <w:tc>
                <w:tcPr>
                  <w:tcW w:w="895" w:type="dxa"/>
                  <w:vAlign w:val="center"/>
                </w:tcPr>
                <w:p>
                  <w:pPr>
                    <w:pStyle w:val="104"/>
                    <w:adjustRightInd w:val="0"/>
                    <w:snapToGrid w:val="0"/>
                    <w:spacing w:line="240" w:lineRule="auto"/>
                    <w:rPr>
                      <w:sz w:val="21"/>
                      <w:szCs w:val="21"/>
                    </w:rPr>
                  </w:pPr>
                  <w:r>
                    <w:rPr>
                      <w:rFonts w:hint="eastAsia"/>
                      <w:sz w:val="21"/>
                      <w:szCs w:val="21"/>
                    </w:rPr>
                    <w:t>26.018090</w:t>
                  </w:r>
                </w:p>
              </w:tc>
              <w:tc>
                <w:tcPr>
                  <w:tcW w:w="875" w:type="dxa"/>
                  <w:vAlign w:val="center"/>
                </w:tcPr>
                <w:p>
                  <w:pPr>
                    <w:pStyle w:val="104"/>
                    <w:adjustRightInd w:val="0"/>
                    <w:snapToGrid w:val="0"/>
                    <w:spacing w:line="240" w:lineRule="auto"/>
                    <w:rPr>
                      <w:sz w:val="21"/>
                      <w:szCs w:val="21"/>
                    </w:rPr>
                  </w:pPr>
                  <w:r>
                    <w:rPr>
                      <w:rFonts w:hint="eastAsia"/>
                      <w:sz w:val="21"/>
                      <w:szCs w:val="21"/>
                    </w:rPr>
                    <w:t>170户，510人</w:t>
                  </w:r>
                </w:p>
              </w:tc>
              <w:tc>
                <w:tcPr>
                  <w:tcW w:w="725" w:type="dxa"/>
                  <w:vAlign w:val="center"/>
                </w:tcPr>
                <w:p>
                  <w:pPr>
                    <w:pStyle w:val="104"/>
                    <w:adjustRightInd w:val="0"/>
                    <w:snapToGrid w:val="0"/>
                    <w:spacing w:line="240" w:lineRule="auto"/>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约460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restart"/>
                  <w:vAlign w:val="center"/>
                </w:tcPr>
                <w:p>
                  <w:pPr>
                    <w:pStyle w:val="104"/>
                    <w:adjustRightInd w:val="0"/>
                    <w:snapToGrid w:val="0"/>
                    <w:spacing w:line="240" w:lineRule="auto"/>
                    <w:rPr>
                      <w:sz w:val="21"/>
                      <w:szCs w:val="21"/>
                    </w:rPr>
                  </w:pPr>
                  <w:r>
                    <w:rPr>
                      <w:rFonts w:hint="eastAsia"/>
                      <w:sz w:val="21"/>
                      <w:szCs w:val="21"/>
                    </w:rPr>
                    <w:t>牛街污水厂</w:t>
                  </w:r>
                </w:p>
              </w:tc>
              <w:tc>
                <w:tcPr>
                  <w:tcW w:w="638" w:type="dxa"/>
                  <w:vAlign w:val="center"/>
                </w:tcPr>
                <w:p>
                  <w:pPr>
                    <w:tabs>
                      <w:tab w:val="left" w:pos="2730"/>
                    </w:tabs>
                    <w:adjustRightInd w:val="0"/>
                    <w:snapToGrid w:val="0"/>
                    <w:jc w:val="center"/>
                    <w:rPr>
                      <w:sz w:val="21"/>
                      <w:szCs w:val="21"/>
                    </w:rPr>
                  </w:pPr>
                  <w:r>
                    <w:rPr>
                      <w:rFonts w:hint="eastAsia"/>
                      <w:sz w:val="21"/>
                      <w:szCs w:val="21"/>
                    </w:rPr>
                    <w:t>文登村</w:t>
                  </w:r>
                </w:p>
              </w:tc>
              <w:tc>
                <w:tcPr>
                  <w:tcW w:w="842" w:type="dxa"/>
                  <w:vAlign w:val="center"/>
                </w:tcPr>
                <w:p>
                  <w:pPr>
                    <w:pStyle w:val="104"/>
                    <w:adjustRightInd w:val="0"/>
                    <w:snapToGrid w:val="0"/>
                    <w:spacing w:line="240" w:lineRule="auto"/>
                    <w:rPr>
                      <w:sz w:val="21"/>
                      <w:szCs w:val="21"/>
                    </w:rPr>
                  </w:pPr>
                  <w:r>
                    <w:rPr>
                      <w:rFonts w:hint="eastAsia"/>
                      <w:sz w:val="21"/>
                      <w:szCs w:val="21"/>
                    </w:rPr>
                    <w:t>99.984558</w:t>
                  </w:r>
                </w:p>
              </w:tc>
              <w:tc>
                <w:tcPr>
                  <w:tcW w:w="895" w:type="dxa"/>
                  <w:vAlign w:val="center"/>
                </w:tcPr>
                <w:p>
                  <w:pPr>
                    <w:pStyle w:val="104"/>
                    <w:adjustRightInd w:val="0"/>
                    <w:snapToGrid w:val="0"/>
                    <w:spacing w:line="240" w:lineRule="auto"/>
                    <w:rPr>
                      <w:sz w:val="21"/>
                      <w:szCs w:val="21"/>
                    </w:rPr>
                  </w:pPr>
                  <w:r>
                    <w:rPr>
                      <w:rFonts w:hint="eastAsia"/>
                      <w:sz w:val="21"/>
                      <w:szCs w:val="21"/>
                    </w:rPr>
                    <w:t>26.247750</w:t>
                  </w:r>
                </w:p>
              </w:tc>
              <w:tc>
                <w:tcPr>
                  <w:tcW w:w="875" w:type="dxa"/>
                  <w:vAlign w:val="center"/>
                </w:tcPr>
                <w:p>
                  <w:pPr>
                    <w:pStyle w:val="104"/>
                    <w:adjustRightInd w:val="0"/>
                    <w:snapToGrid w:val="0"/>
                    <w:spacing w:line="240" w:lineRule="auto"/>
                    <w:rPr>
                      <w:sz w:val="21"/>
                      <w:szCs w:val="21"/>
                    </w:rPr>
                  </w:pPr>
                  <w:r>
                    <w:rPr>
                      <w:rFonts w:hint="eastAsia"/>
                      <w:sz w:val="21"/>
                      <w:szCs w:val="21"/>
                    </w:rPr>
                    <w:t>850户，2550人</w:t>
                  </w:r>
                </w:p>
              </w:tc>
              <w:tc>
                <w:tcPr>
                  <w:tcW w:w="725" w:type="dxa"/>
                  <w:vAlign w:val="center"/>
                </w:tcPr>
                <w:p>
                  <w:pPr>
                    <w:pStyle w:val="104"/>
                    <w:adjustRightInd w:val="0"/>
                    <w:snapToGrid w:val="0"/>
                    <w:spacing w:line="240" w:lineRule="auto"/>
                    <w:rPr>
                      <w:sz w:val="21"/>
                      <w:szCs w:val="21"/>
                    </w:rPr>
                  </w:pPr>
                  <w:r>
                    <w:rPr>
                      <w:rFonts w:hint="eastAsia"/>
                      <w:sz w:val="21"/>
                      <w:szCs w:val="21"/>
                    </w:rPr>
                    <w:t>北</w:t>
                  </w:r>
                </w:p>
              </w:tc>
              <w:tc>
                <w:tcPr>
                  <w:tcW w:w="825" w:type="dxa"/>
                  <w:vAlign w:val="center"/>
                </w:tcPr>
                <w:p>
                  <w:pPr>
                    <w:pStyle w:val="104"/>
                    <w:adjustRightInd w:val="0"/>
                    <w:snapToGrid w:val="0"/>
                    <w:spacing w:line="240" w:lineRule="auto"/>
                    <w:rPr>
                      <w:sz w:val="21"/>
                      <w:szCs w:val="21"/>
                    </w:rPr>
                  </w:pPr>
                  <w:r>
                    <w:rPr>
                      <w:rFonts w:hint="eastAsia"/>
                      <w:sz w:val="21"/>
                      <w:szCs w:val="21"/>
                    </w:rPr>
                    <w:t>约30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tabs>
                      <w:tab w:val="left" w:pos="2730"/>
                    </w:tabs>
                    <w:adjustRightInd w:val="0"/>
                    <w:snapToGrid w:val="0"/>
                    <w:jc w:val="center"/>
                    <w:rPr>
                      <w:sz w:val="21"/>
                      <w:szCs w:val="21"/>
                    </w:rPr>
                  </w:pPr>
                  <w:r>
                    <w:rPr>
                      <w:rFonts w:hint="eastAsia"/>
                      <w:sz w:val="21"/>
                      <w:szCs w:val="21"/>
                    </w:rPr>
                    <w:t>仕登村</w:t>
                  </w:r>
                </w:p>
              </w:tc>
              <w:tc>
                <w:tcPr>
                  <w:tcW w:w="842" w:type="dxa"/>
                  <w:vAlign w:val="center"/>
                </w:tcPr>
                <w:p>
                  <w:pPr>
                    <w:pStyle w:val="104"/>
                    <w:adjustRightInd w:val="0"/>
                    <w:snapToGrid w:val="0"/>
                    <w:spacing w:line="240" w:lineRule="auto"/>
                    <w:rPr>
                      <w:sz w:val="21"/>
                      <w:szCs w:val="21"/>
                    </w:rPr>
                  </w:pPr>
                  <w:r>
                    <w:rPr>
                      <w:rFonts w:hint="eastAsia"/>
                      <w:sz w:val="21"/>
                      <w:szCs w:val="21"/>
                    </w:rPr>
                    <w:t>99.986173</w:t>
                  </w:r>
                </w:p>
              </w:tc>
              <w:tc>
                <w:tcPr>
                  <w:tcW w:w="895" w:type="dxa"/>
                  <w:vAlign w:val="center"/>
                </w:tcPr>
                <w:p>
                  <w:pPr>
                    <w:pStyle w:val="104"/>
                    <w:adjustRightInd w:val="0"/>
                    <w:snapToGrid w:val="0"/>
                    <w:spacing w:line="240" w:lineRule="auto"/>
                    <w:rPr>
                      <w:sz w:val="21"/>
                      <w:szCs w:val="21"/>
                    </w:rPr>
                  </w:pPr>
                  <w:r>
                    <w:rPr>
                      <w:rFonts w:hint="eastAsia"/>
                      <w:sz w:val="21"/>
                      <w:szCs w:val="21"/>
                    </w:rPr>
                    <w:t>26.243325</w:t>
                  </w:r>
                </w:p>
              </w:tc>
              <w:tc>
                <w:tcPr>
                  <w:tcW w:w="875" w:type="dxa"/>
                  <w:vAlign w:val="center"/>
                </w:tcPr>
                <w:p>
                  <w:pPr>
                    <w:pStyle w:val="104"/>
                    <w:adjustRightInd w:val="0"/>
                    <w:snapToGrid w:val="0"/>
                    <w:spacing w:line="240" w:lineRule="auto"/>
                    <w:rPr>
                      <w:sz w:val="21"/>
                      <w:szCs w:val="21"/>
                    </w:rPr>
                  </w:pPr>
                  <w:r>
                    <w:rPr>
                      <w:rFonts w:hint="eastAsia"/>
                      <w:sz w:val="21"/>
                      <w:szCs w:val="21"/>
                    </w:rPr>
                    <w:t>337户，1011人</w:t>
                  </w:r>
                </w:p>
              </w:tc>
              <w:tc>
                <w:tcPr>
                  <w:tcW w:w="725" w:type="dxa"/>
                  <w:vAlign w:val="center"/>
                </w:tcPr>
                <w:p>
                  <w:pPr>
                    <w:pStyle w:val="104"/>
                    <w:adjustRightInd w:val="0"/>
                    <w:snapToGrid w:val="0"/>
                    <w:spacing w:line="240" w:lineRule="auto"/>
                    <w:rPr>
                      <w:sz w:val="21"/>
                      <w:szCs w:val="21"/>
                    </w:rPr>
                  </w:pPr>
                  <w:r>
                    <w:rPr>
                      <w:rFonts w:hint="eastAsia"/>
                      <w:sz w:val="21"/>
                      <w:szCs w:val="21"/>
                    </w:rPr>
                    <w:t>南</w:t>
                  </w:r>
                </w:p>
              </w:tc>
              <w:tc>
                <w:tcPr>
                  <w:tcW w:w="825" w:type="dxa"/>
                  <w:vAlign w:val="center"/>
                </w:tcPr>
                <w:p>
                  <w:pPr>
                    <w:pStyle w:val="104"/>
                    <w:adjustRightInd w:val="0"/>
                    <w:snapToGrid w:val="0"/>
                    <w:spacing w:line="240" w:lineRule="auto"/>
                    <w:rPr>
                      <w:sz w:val="21"/>
                      <w:szCs w:val="21"/>
                    </w:rPr>
                  </w:pPr>
                  <w:r>
                    <w:rPr>
                      <w:rFonts w:hint="eastAsia"/>
                      <w:sz w:val="21"/>
                      <w:szCs w:val="21"/>
                    </w:rPr>
                    <w:t>约480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restart"/>
                  <w:vAlign w:val="center"/>
                </w:tcPr>
                <w:p>
                  <w:pPr>
                    <w:pStyle w:val="104"/>
                    <w:adjustRightInd w:val="0"/>
                    <w:snapToGrid w:val="0"/>
                    <w:spacing w:line="240" w:lineRule="auto"/>
                    <w:rPr>
                      <w:sz w:val="21"/>
                      <w:szCs w:val="21"/>
                    </w:rPr>
                  </w:pPr>
                  <w:r>
                    <w:rPr>
                      <w:rFonts w:hint="eastAsia"/>
                      <w:sz w:val="21"/>
                      <w:szCs w:val="21"/>
                    </w:rPr>
                    <w:t>声环境</w:t>
                  </w:r>
                </w:p>
              </w:tc>
              <w:tc>
                <w:tcPr>
                  <w:tcW w:w="650" w:type="dxa"/>
                  <w:vAlign w:val="center"/>
                </w:tcPr>
                <w:p>
                  <w:pPr>
                    <w:pStyle w:val="104"/>
                    <w:adjustRightInd w:val="0"/>
                    <w:snapToGrid w:val="0"/>
                    <w:spacing w:line="240" w:lineRule="auto"/>
                    <w:rPr>
                      <w:sz w:val="21"/>
                      <w:szCs w:val="21"/>
                    </w:rPr>
                  </w:pPr>
                  <w:r>
                    <w:rPr>
                      <w:rFonts w:hint="eastAsia"/>
                      <w:sz w:val="21"/>
                      <w:szCs w:val="21"/>
                    </w:rPr>
                    <w:t>邓川污水厂</w:t>
                  </w:r>
                </w:p>
              </w:tc>
              <w:tc>
                <w:tcPr>
                  <w:tcW w:w="638" w:type="dxa"/>
                  <w:vAlign w:val="center"/>
                </w:tcPr>
                <w:p>
                  <w:pPr>
                    <w:pStyle w:val="104"/>
                    <w:adjustRightInd w:val="0"/>
                    <w:snapToGrid w:val="0"/>
                    <w:spacing w:line="240" w:lineRule="auto"/>
                    <w:rPr>
                      <w:sz w:val="21"/>
                      <w:szCs w:val="21"/>
                    </w:rPr>
                  </w:pPr>
                  <w:r>
                    <w:rPr>
                      <w:rFonts w:hint="eastAsia"/>
                      <w:sz w:val="21"/>
                      <w:szCs w:val="21"/>
                    </w:rPr>
                    <w:t>黄家营</w:t>
                  </w:r>
                </w:p>
              </w:tc>
              <w:tc>
                <w:tcPr>
                  <w:tcW w:w="842" w:type="dxa"/>
                  <w:vAlign w:val="center"/>
                </w:tcPr>
                <w:p>
                  <w:pPr>
                    <w:pStyle w:val="104"/>
                    <w:adjustRightInd w:val="0"/>
                    <w:snapToGrid w:val="0"/>
                    <w:spacing w:line="240" w:lineRule="auto"/>
                    <w:rPr>
                      <w:sz w:val="21"/>
                      <w:szCs w:val="21"/>
                    </w:rPr>
                  </w:pPr>
                  <w:r>
                    <w:rPr>
                      <w:rFonts w:hint="eastAsia"/>
                      <w:sz w:val="21"/>
                      <w:szCs w:val="21"/>
                    </w:rPr>
                    <w:t>100.097391</w:t>
                  </w:r>
                </w:p>
              </w:tc>
              <w:tc>
                <w:tcPr>
                  <w:tcW w:w="895" w:type="dxa"/>
                  <w:vAlign w:val="center"/>
                </w:tcPr>
                <w:p>
                  <w:pPr>
                    <w:pStyle w:val="104"/>
                    <w:adjustRightInd w:val="0"/>
                    <w:snapToGrid w:val="0"/>
                    <w:spacing w:line="240" w:lineRule="auto"/>
                    <w:rPr>
                      <w:sz w:val="21"/>
                      <w:szCs w:val="21"/>
                    </w:rPr>
                  </w:pPr>
                  <w:r>
                    <w:rPr>
                      <w:rFonts w:hint="eastAsia"/>
                      <w:sz w:val="21"/>
                      <w:szCs w:val="21"/>
                    </w:rPr>
                    <w:t>25.988741</w:t>
                  </w:r>
                </w:p>
              </w:tc>
              <w:tc>
                <w:tcPr>
                  <w:tcW w:w="875" w:type="dxa"/>
                  <w:vAlign w:val="center"/>
                </w:tcPr>
                <w:p>
                  <w:pPr>
                    <w:pStyle w:val="104"/>
                    <w:adjustRightInd w:val="0"/>
                    <w:snapToGrid w:val="0"/>
                    <w:spacing w:line="240" w:lineRule="auto"/>
                    <w:rPr>
                      <w:sz w:val="21"/>
                      <w:szCs w:val="21"/>
                    </w:rPr>
                  </w:pPr>
                  <w:r>
                    <w:rPr>
                      <w:rFonts w:hint="eastAsia"/>
                      <w:sz w:val="21"/>
                      <w:szCs w:val="21"/>
                    </w:rPr>
                    <w:t>15户，45人</w:t>
                  </w:r>
                </w:p>
              </w:tc>
              <w:tc>
                <w:tcPr>
                  <w:tcW w:w="725" w:type="dxa"/>
                  <w:vAlign w:val="center"/>
                </w:tcPr>
                <w:p>
                  <w:pPr>
                    <w:pStyle w:val="104"/>
                    <w:adjustRightInd w:val="0"/>
                    <w:snapToGrid w:val="0"/>
                    <w:spacing w:line="240" w:lineRule="auto"/>
                    <w:rPr>
                      <w:sz w:val="21"/>
                      <w:szCs w:val="21"/>
                    </w:rPr>
                  </w:pPr>
                  <w:r>
                    <w:rPr>
                      <w:rFonts w:hint="eastAsia"/>
                      <w:sz w:val="21"/>
                      <w:szCs w:val="21"/>
                    </w:rPr>
                    <w:t>西北</w:t>
                  </w:r>
                </w:p>
              </w:tc>
              <w:tc>
                <w:tcPr>
                  <w:tcW w:w="825" w:type="dxa"/>
                  <w:vAlign w:val="center"/>
                </w:tcPr>
                <w:p>
                  <w:pPr>
                    <w:pStyle w:val="104"/>
                    <w:adjustRightInd w:val="0"/>
                    <w:snapToGrid w:val="0"/>
                    <w:spacing w:line="240" w:lineRule="auto"/>
                    <w:rPr>
                      <w:sz w:val="21"/>
                      <w:szCs w:val="21"/>
                    </w:rPr>
                  </w:pPr>
                  <w:r>
                    <w:rPr>
                      <w:rFonts w:hint="eastAsia"/>
                      <w:sz w:val="21"/>
                      <w:szCs w:val="21"/>
                    </w:rPr>
                    <w:t>约50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restart"/>
                  <w:vAlign w:val="center"/>
                </w:tcPr>
                <w:p>
                  <w:pPr>
                    <w:pStyle w:val="104"/>
                    <w:adjustRightInd w:val="0"/>
                    <w:snapToGrid w:val="0"/>
                    <w:spacing w:line="240" w:lineRule="auto"/>
                    <w:rPr>
                      <w:sz w:val="21"/>
                      <w:szCs w:val="21"/>
                    </w:rPr>
                  </w:pPr>
                  <w:r>
                    <w:rPr>
                      <w:sz w:val="21"/>
                      <w:szCs w:val="21"/>
                    </w:rPr>
                    <w:t>《声环境质量标准》（GB3096</w:t>
                  </w:r>
                  <w:r>
                    <w:rPr>
                      <w:rFonts w:hint="eastAsia"/>
                      <w:sz w:val="21"/>
                      <w:szCs w:val="21"/>
                    </w:rPr>
                    <w:t>-</w:t>
                  </w:r>
                  <w:r>
                    <w:rPr>
                      <w:sz w:val="21"/>
                      <w:szCs w:val="21"/>
                    </w:rPr>
                    <w:t>2008）</w:t>
                  </w:r>
                  <w:r>
                    <w:rPr>
                      <w:rFonts w:hint="eastAsia"/>
                      <w:sz w:val="21"/>
                      <w:szCs w:val="21"/>
                    </w:rPr>
                    <w:t>2</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Align w:val="center"/>
                </w:tcPr>
                <w:p>
                  <w:pPr>
                    <w:pStyle w:val="104"/>
                    <w:adjustRightInd w:val="0"/>
                    <w:snapToGrid w:val="0"/>
                    <w:spacing w:line="240" w:lineRule="auto"/>
                    <w:rPr>
                      <w:sz w:val="21"/>
                      <w:szCs w:val="21"/>
                    </w:rPr>
                  </w:pPr>
                  <w:r>
                    <w:rPr>
                      <w:rFonts w:hint="eastAsia"/>
                      <w:sz w:val="21"/>
                      <w:szCs w:val="21"/>
                    </w:rPr>
                    <w:t>牛街污水厂</w:t>
                  </w:r>
                </w:p>
              </w:tc>
              <w:tc>
                <w:tcPr>
                  <w:tcW w:w="638" w:type="dxa"/>
                  <w:vAlign w:val="center"/>
                </w:tcPr>
                <w:p>
                  <w:pPr>
                    <w:tabs>
                      <w:tab w:val="left" w:pos="2730"/>
                    </w:tabs>
                    <w:adjustRightInd w:val="0"/>
                    <w:snapToGrid w:val="0"/>
                    <w:jc w:val="center"/>
                    <w:rPr>
                      <w:sz w:val="21"/>
                      <w:szCs w:val="21"/>
                    </w:rPr>
                  </w:pPr>
                  <w:r>
                    <w:rPr>
                      <w:rFonts w:hint="eastAsia"/>
                      <w:sz w:val="21"/>
                      <w:szCs w:val="21"/>
                    </w:rPr>
                    <w:t>文登村</w:t>
                  </w:r>
                </w:p>
              </w:tc>
              <w:tc>
                <w:tcPr>
                  <w:tcW w:w="842" w:type="dxa"/>
                  <w:vAlign w:val="center"/>
                </w:tcPr>
                <w:p>
                  <w:pPr>
                    <w:pStyle w:val="104"/>
                    <w:adjustRightInd w:val="0"/>
                    <w:snapToGrid w:val="0"/>
                    <w:spacing w:line="240" w:lineRule="auto"/>
                    <w:rPr>
                      <w:sz w:val="21"/>
                      <w:szCs w:val="21"/>
                    </w:rPr>
                  </w:pPr>
                  <w:r>
                    <w:rPr>
                      <w:rFonts w:hint="eastAsia"/>
                      <w:sz w:val="21"/>
                      <w:szCs w:val="21"/>
                    </w:rPr>
                    <w:t>99.984558</w:t>
                  </w:r>
                </w:p>
              </w:tc>
              <w:tc>
                <w:tcPr>
                  <w:tcW w:w="895" w:type="dxa"/>
                  <w:vAlign w:val="center"/>
                </w:tcPr>
                <w:p>
                  <w:pPr>
                    <w:pStyle w:val="104"/>
                    <w:adjustRightInd w:val="0"/>
                    <w:snapToGrid w:val="0"/>
                    <w:spacing w:line="240" w:lineRule="auto"/>
                    <w:rPr>
                      <w:sz w:val="21"/>
                      <w:szCs w:val="21"/>
                    </w:rPr>
                  </w:pPr>
                  <w:r>
                    <w:rPr>
                      <w:rFonts w:hint="eastAsia"/>
                      <w:sz w:val="21"/>
                      <w:szCs w:val="21"/>
                    </w:rPr>
                    <w:t>26.247750</w:t>
                  </w:r>
                </w:p>
              </w:tc>
              <w:tc>
                <w:tcPr>
                  <w:tcW w:w="875" w:type="dxa"/>
                  <w:vAlign w:val="center"/>
                </w:tcPr>
                <w:p>
                  <w:pPr>
                    <w:pStyle w:val="104"/>
                    <w:adjustRightInd w:val="0"/>
                    <w:snapToGrid w:val="0"/>
                    <w:spacing w:line="240" w:lineRule="auto"/>
                    <w:rPr>
                      <w:sz w:val="21"/>
                      <w:szCs w:val="21"/>
                    </w:rPr>
                  </w:pPr>
                  <w:r>
                    <w:rPr>
                      <w:rFonts w:hint="eastAsia"/>
                      <w:sz w:val="21"/>
                      <w:szCs w:val="21"/>
                    </w:rPr>
                    <w:t>850户，2550人</w:t>
                  </w:r>
                </w:p>
              </w:tc>
              <w:tc>
                <w:tcPr>
                  <w:tcW w:w="725" w:type="dxa"/>
                  <w:vAlign w:val="center"/>
                </w:tcPr>
                <w:p>
                  <w:pPr>
                    <w:pStyle w:val="104"/>
                    <w:adjustRightInd w:val="0"/>
                    <w:snapToGrid w:val="0"/>
                    <w:spacing w:line="240" w:lineRule="auto"/>
                    <w:rPr>
                      <w:sz w:val="21"/>
                      <w:szCs w:val="21"/>
                    </w:rPr>
                  </w:pPr>
                  <w:r>
                    <w:rPr>
                      <w:rFonts w:hint="eastAsia"/>
                      <w:sz w:val="21"/>
                      <w:szCs w:val="21"/>
                    </w:rPr>
                    <w:t>北</w:t>
                  </w:r>
                </w:p>
              </w:tc>
              <w:tc>
                <w:tcPr>
                  <w:tcW w:w="825" w:type="dxa"/>
                  <w:vAlign w:val="center"/>
                </w:tcPr>
                <w:p>
                  <w:pPr>
                    <w:pStyle w:val="104"/>
                    <w:adjustRightInd w:val="0"/>
                    <w:snapToGrid w:val="0"/>
                    <w:spacing w:line="240" w:lineRule="auto"/>
                    <w:rPr>
                      <w:sz w:val="21"/>
                      <w:szCs w:val="21"/>
                    </w:rPr>
                  </w:pPr>
                  <w:r>
                    <w:rPr>
                      <w:rFonts w:hint="eastAsia"/>
                      <w:sz w:val="21"/>
                      <w:szCs w:val="21"/>
                    </w:rPr>
                    <w:t>约30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restart"/>
                  <w:vAlign w:val="center"/>
                </w:tcPr>
                <w:p>
                  <w:pPr>
                    <w:pStyle w:val="104"/>
                    <w:adjustRightInd w:val="0"/>
                    <w:snapToGrid w:val="0"/>
                    <w:spacing w:line="240" w:lineRule="auto"/>
                    <w:rPr>
                      <w:sz w:val="21"/>
                      <w:szCs w:val="21"/>
                    </w:rPr>
                  </w:pPr>
                  <w:r>
                    <w:rPr>
                      <w:sz w:val="21"/>
                      <w:szCs w:val="21"/>
                    </w:rPr>
                    <w:t>地表水</w:t>
                  </w:r>
                </w:p>
              </w:tc>
              <w:tc>
                <w:tcPr>
                  <w:tcW w:w="650" w:type="dxa"/>
                  <w:vMerge w:val="restart"/>
                  <w:vAlign w:val="center"/>
                </w:tcPr>
                <w:p>
                  <w:pPr>
                    <w:pStyle w:val="104"/>
                    <w:adjustRightInd w:val="0"/>
                    <w:snapToGrid w:val="0"/>
                    <w:spacing w:line="240" w:lineRule="auto"/>
                    <w:rPr>
                      <w:sz w:val="21"/>
                      <w:szCs w:val="21"/>
                    </w:rPr>
                  </w:pPr>
                  <w:r>
                    <w:rPr>
                      <w:rFonts w:hint="eastAsia"/>
                      <w:sz w:val="21"/>
                      <w:szCs w:val="21"/>
                    </w:rPr>
                    <w:t>邓川污水厂</w:t>
                  </w:r>
                </w:p>
              </w:tc>
              <w:tc>
                <w:tcPr>
                  <w:tcW w:w="638" w:type="dxa"/>
                  <w:vAlign w:val="center"/>
                </w:tcPr>
                <w:p>
                  <w:pPr>
                    <w:pStyle w:val="104"/>
                    <w:adjustRightInd w:val="0"/>
                    <w:snapToGrid w:val="0"/>
                    <w:spacing w:line="240" w:lineRule="auto"/>
                    <w:rPr>
                      <w:sz w:val="21"/>
                      <w:szCs w:val="21"/>
                    </w:rPr>
                  </w:pPr>
                  <w:r>
                    <w:rPr>
                      <w:rFonts w:hint="eastAsia"/>
                      <w:sz w:val="21"/>
                      <w:szCs w:val="21"/>
                      <w:lang w:bidi="en-US"/>
                    </w:rPr>
                    <w:t>罗时江</w:t>
                  </w:r>
                </w:p>
              </w:tc>
              <w:tc>
                <w:tcPr>
                  <w:tcW w:w="842" w:type="dxa"/>
                  <w:vAlign w:val="center"/>
                </w:tcPr>
                <w:p>
                  <w:pPr>
                    <w:pStyle w:val="104"/>
                    <w:adjustRightInd w:val="0"/>
                    <w:snapToGrid w:val="0"/>
                    <w:spacing w:line="240" w:lineRule="auto"/>
                    <w:rPr>
                      <w:sz w:val="21"/>
                      <w:szCs w:val="21"/>
                    </w:rPr>
                  </w:pPr>
                  <w:r>
                    <w:rPr>
                      <w:rFonts w:hint="eastAsia"/>
                      <w:sz w:val="21"/>
                      <w:szCs w:val="21"/>
                    </w:rPr>
                    <w:t>100.095296</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25.985704</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825" w:type="dxa"/>
                  <w:vAlign w:val="center"/>
                </w:tcPr>
                <w:p>
                  <w:pPr>
                    <w:pStyle w:val="104"/>
                    <w:adjustRightInd w:val="0"/>
                    <w:snapToGrid w:val="0"/>
                    <w:spacing w:line="240" w:lineRule="auto"/>
                    <w:rPr>
                      <w:sz w:val="21"/>
                      <w:szCs w:val="21"/>
                    </w:rPr>
                  </w:pPr>
                  <w:r>
                    <w:rPr>
                      <w:rFonts w:hint="eastAsia"/>
                      <w:sz w:val="21"/>
                      <w:szCs w:val="21"/>
                    </w:rPr>
                    <w:t>约400</w:t>
                  </w:r>
                </w:p>
              </w:tc>
              <w:tc>
                <w:tcPr>
                  <w:tcW w:w="1100" w:type="dxa"/>
                  <w:vAlign w:val="center"/>
                </w:tcPr>
                <w:p>
                  <w:pPr>
                    <w:pStyle w:val="104"/>
                    <w:adjustRightInd w:val="0"/>
                    <w:snapToGrid w:val="0"/>
                    <w:spacing w:line="240" w:lineRule="auto"/>
                    <w:rPr>
                      <w:sz w:val="21"/>
                      <w:szCs w:val="21"/>
                    </w:rPr>
                  </w:pPr>
                  <w:r>
                    <w:rPr>
                      <w:rFonts w:hint="eastAsia"/>
                      <w:sz w:val="21"/>
                      <w:szCs w:val="21"/>
                    </w:rPr>
                    <w:t>/</w:t>
                  </w:r>
                </w:p>
              </w:tc>
              <w:tc>
                <w:tcPr>
                  <w:tcW w:w="1335" w:type="dxa"/>
                  <w:vMerge w:val="restart"/>
                  <w:vAlign w:val="center"/>
                </w:tcPr>
                <w:p>
                  <w:pPr>
                    <w:pStyle w:val="104"/>
                    <w:adjustRightInd w:val="0"/>
                    <w:snapToGrid w:val="0"/>
                    <w:spacing w:line="240" w:lineRule="auto"/>
                    <w:rPr>
                      <w:sz w:val="21"/>
                      <w:szCs w:val="21"/>
                    </w:rPr>
                  </w:pPr>
                  <w:r>
                    <w:rPr>
                      <w:sz w:val="21"/>
                      <w:szCs w:val="21"/>
                    </w:rPr>
                    <w:t>《地表水环境质量标准》（GB3838-2002）</w:t>
                  </w:r>
                  <w:r>
                    <w:rPr>
                      <w:rFonts w:hint="eastAsia"/>
                      <w:bCs/>
                      <w:sz w:val="21"/>
                      <w:szCs w:val="21"/>
                    </w:rPr>
                    <w:t>Ⅱ</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lang w:bidi="en-US"/>
                    </w:rPr>
                  </w:pPr>
                  <w:r>
                    <w:rPr>
                      <w:rFonts w:hint="eastAsia"/>
                      <w:sz w:val="21"/>
                      <w:szCs w:val="21"/>
                    </w:rPr>
                    <w:t>弥苴河</w:t>
                  </w:r>
                </w:p>
              </w:tc>
              <w:tc>
                <w:tcPr>
                  <w:tcW w:w="842" w:type="dxa"/>
                  <w:vAlign w:val="center"/>
                </w:tcPr>
                <w:p>
                  <w:pPr>
                    <w:pStyle w:val="104"/>
                    <w:adjustRightInd w:val="0"/>
                    <w:snapToGrid w:val="0"/>
                    <w:spacing w:line="240" w:lineRule="auto"/>
                    <w:rPr>
                      <w:sz w:val="21"/>
                      <w:szCs w:val="21"/>
                    </w:rPr>
                  </w:pPr>
                  <w:r>
                    <w:rPr>
                      <w:rFonts w:hint="eastAsia"/>
                      <w:sz w:val="21"/>
                      <w:szCs w:val="21"/>
                    </w:rPr>
                    <w:t>100.106492</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25.993192</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约1050</w:t>
                  </w:r>
                </w:p>
              </w:tc>
              <w:tc>
                <w:tcPr>
                  <w:tcW w:w="1100" w:type="dxa"/>
                  <w:vAlign w:val="center"/>
                </w:tcPr>
                <w:p>
                  <w:pPr>
                    <w:pStyle w:val="104"/>
                    <w:adjustRightInd w:val="0"/>
                    <w:snapToGrid w:val="0"/>
                    <w:spacing w:line="240" w:lineRule="auto"/>
                    <w:rPr>
                      <w:sz w:val="21"/>
                      <w:szCs w:val="21"/>
                    </w:rPr>
                  </w:pPr>
                  <w:r>
                    <w:rPr>
                      <w:rFonts w:hint="eastAsia"/>
                      <w:sz w:val="21"/>
                      <w:szCs w:val="21"/>
                    </w:rPr>
                    <w:t>饮用一级、农业用水</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永安江</w:t>
                  </w:r>
                </w:p>
              </w:tc>
              <w:tc>
                <w:tcPr>
                  <w:tcW w:w="842" w:type="dxa"/>
                  <w:vAlign w:val="center"/>
                </w:tcPr>
                <w:p>
                  <w:pPr>
                    <w:pStyle w:val="104"/>
                    <w:adjustRightInd w:val="0"/>
                    <w:snapToGrid w:val="0"/>
                    <w:spacing w:line="240" w:lineRule="auto"/>
                    <w:rPr>
                      <w:sz w:val="21"/>
                      <w:szCs w:val="21"/>
                    </w:rPr>
                  </w:pPr>
                  <w:r>
                    <w:rPr>
                      <w:rFonts w:hint="eastAsia"/>
                      <w:sz w:val="21"/>
                      <w:szCs w:val="21"/>
                    </w:rPr>
                    <w:t>100.106577</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25.996196</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约1200</w:t>
                  </w:r>
                </w:p>
              </w:tc>
              <w:tc>
                <w:tcPr>
                  <w:tcW w:w="1100" w:type="dxa"/>
                  <w:vAlign w:val="center"/>
                </w:tcPr>
                <w:p>
                  <w:pPr>
                    <w:pStyle w:val="104"/>
                    <w:adjustRightInd w:val="0"/>
                    <w:snapToGrid w:val="0"/>
                    <w:spacing w:line="240" w:lineRule="auto"/>
                    <w:rPr>
                      <w:sz w:val="21"/>
                      <w:szCs w:val="21"/>
                    </w:rPr>
                  </w:pPr>
                  <w:r>
                    <w:rPr>
                      <w:rFonts w:hint="eastAsia"/>
                      <w:sz w:val="21"/>
                      <w:szCs w:val="21"/>
                    </w:rPr>
                    <w:t>/</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restart"/>
                  <w:vAlign w:val="center"/>
                </w:tcPr>
                <w:p>
                  <w:pPr>
                    <w:pStyle w:val="104"/>
                    <w:adjustRightInd w:val="0"/>
                    <w:snapToGrid w:val="0"/>
                    <w:spacing w:line="240" w:lineRule="auto"/>
                    <w:rPr>
                      <w:sz w:val="21"/>
                      <w:szCs w:val="21"/>
                    </w:rPr>
                  </w:pPr>
                  <w:r>
                    <w:rPr>
                      <w:rFonts w:hint="eastAsia"/>
                      <w:sz w:val="21"/>
                      <w:szCs w:val="21"/>
                    </w:rPr>
                    <w:t>右所污水厂</w:t>
                  </w:r>
                </w:p>
              </w:tc>
              <w:tc>
                <w:tcPr>
                  <w:tcW w:w="638" w:type="dxa"/>
                  <w:vAlign w:val="center"/>
                </w:tcPr>
                <w:p>
                  <w:pPr>
                    <w:pStyle w:val="104"/>
                    <w:adjustRightInd w:val="0"/>
                    <w:snapToGrid w:val="0"/>
                    <w:spacing w:line="240" w:lineRule="auto"/>
                    <w:rPr>
                      <w:sz w:val="21"/>
                      <w:szCs w:val="21"/>
                    </w:rPr>
                  </w:pPr>
                  <w:r>
                    <w:rPr>
                      <w:rFonts w:hint="eastAsia"/>
                      <w:sz w:val="21"/>
                      <w:szCs w:val="21"/>
                    </w:rPr>
                    <w:t>弥苴河</w:t>
                  </w:r>
                </w:p>
              </w:tc>
              <w:tc>
                <w:tcPr>
                  <w:tcW w:w="842" w:type="dxa"/>
                  <w:vAlign w:val="center"/>
                </w:tcPr>
                <w:p>
                  <w:pPr>
                    <w:pStyle w:val="104"/>
                    <w:adjustRightInd w:val="0"/>
                    <w:snapToGrid w:val="0"/>
                    <w:spacing w:line="240" w:lineRule="auto"/>
                    <w:rPr>
                      <w:sz w:val="21"/>
                      <w:szCs w:val="21"/>
                    </w:rPr>
                  </w:pPr>
                  <w:r>
                    <w:rPr>
                      <w:rFonts w:hint="eastAsia"/>
                      <w:sz w:val="21"/>
                      <w:szCs w:val="21"/>
                    </w:rPr>
                    <w:t>100.065078</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26.018749</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约1260</w:t>
                  </w:r>
                </w:p>
              </w:tc>
              <w:tc>
                <w:tcPr>
                  <w:tcW w:w="1100" w:type="dxa"/>
                  <w:vAlign w:val="center"/>
                </w:tcPr>
                <w:p>
                  <w:pPr>
                    <w:pStyle w:val="104"/>
                    <w:adjustRightInd w:val="0"/>
                    <w:snapToGrid w:val="0"/>
                    <w:spacing w:line="240" w:lineRule="auto"/>
                    <w:rPr>
                      <w:sz w:val="21"/>
                      <w:szCs w:val="21"/>
                    </w:rPr>
                  </w:pPr>
                  <w:r>
                    <w:rPr>
                      <w:rFonts w:hint="eastAsia"/>
                      <w:sz w:val="21"/>
                      <w:szCs w:val="21"/>
                    </w:rPr>
                    <w:t>饮用一级、农业用水</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西湖</w:t>
                  </w:r>
                </w:p>
              </w:tc>
              <w:tc>
                <w:tcPr>
                  <w:tcW w:w="842" w:type="dxa"/>
                  <w:vAlign w:val="center"/>
                </w:tcPr>
                <w:p>
                  <w:pPr>
                    <w:pStyle w:val="104"/>
                    <w:adjustRightInd w:val="0"/>
                    <w:snapToGrid w:val="0"/>
                    <w:spacing w:line="240" w:lineRule="auto"/>
                    <w:rPr>
                      <w:sz w:val="21"/>
                      <w:szCs w:val="21"/>
                      <w:lang w:bidi="en-US"/>
                    </w:rPr>
                  </w:pPr>
                  <w:r>
                    <w:rPr>
                      <w:rFonts w:hint="eastAsia"/>
                      <w:sz w:val="21"/>
                      <w:szCs w:val="21"/>
                      <w:lang w:bidi="en-US"/>
                    </w:rPr>
                    <w:t>100.052198</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26.015798</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825" w:type="dxa"/>
                  <w:vAlign w:val="center"/>
                </w:tcPr>
                <w:p>
                  <w:pPr>
                    <w:pStyle w:val="104"/>
                    <w:adjustRightInd w:val="0"/>
                    <w:snapToGrid w:val="0"/>
                    <w:spacing w:line="240" w:lineRule="auto"/>
                    <w:rPr>
                      <w:sz w:val="21"/>
                      <w:szCs w:val="21"/>
                    </w:rPr>
                  </w:pPr>
                  <w:r>
                    <w:rPr>
                      <w:rFonts w:hint="eastAsia"/>
                      <w:sz w:val="21"/>
                      <w:szCs w:val="21"/>
                    </w:rPr>
                    <w:t>约120</w:t>
                  </w:r>
                </w:p>
              </w:tc>
              <w:tc>
                <w:tcPr>
                  <w:tcW w:w="1100" w:type="dxa"/>
                  <w:vAlign w:val="center"/>
                </w:tcPr>
                <w:p>
                  <w:pPr>
                    <w:pStyle w:val="104"/>
                    <w:adjustRightInd w:val="0"/>
                    <w:snapToGrid w:val="0"/>
                    <w:spacing w:line="240" w:lineRule="auto"/>
                    <w:rPr>
                      <w:sz w:val="21"/>
                      <w:szCs w:val="21"/>
                    </w:rPr>
                  </w:pPr>
                  <w:r>
                    <w:rPr>
                      <w:rFonts w:hint="eastAsia"/>
                      <w:sz w:val="21"/>
                      <w:szCs w:val="21"/>
                    </w:rPr>
                    <w:t>国家湿地公园</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continue"/>
                  <w:vAlign w:val="center"/>
                </w:tcPr>
                <w:p>
                  <w:pPr>
                    <w:pStyle w:val="104"/>
                    <w:adjustRightInd w:val="0"/>
                    <w:snapToGrid w:val="0"/>
                    <w:spacing w:line="240" w:lineRule="auto"/>
                    <w:rPr>
                      <w:sz w:val="21"/>
                      <w:szCs w:val="21"/>
                    </w:rPr>
                  </w:pPr>
                </w:p>
              </w:tc>
              <w:tc>
                <w:tcPr>
                  <w:tcW w:w="650" w:type="dxa"/>
                  <w:vAlign w:val="center"/>
                </w:tcPr>
                <w:p>
                  <w:pPr>
                    <w:pStyle w:val="104"/>
                    <w:adjustRightInd w:val="0"/>
                    <w:snapToGrid w:val="0"/>
                    <w:spacing w:line="240" w:lineRule="auto"/>
                    <w:rPr>
                      <w:sz w:val="21"/>
                      <w:szCs w:val="21"/>
                    </w:rPr>
                  </w:pPr>
                  <w:r>
                    <w:rPr>
                      <w:rFonts w:hint="eastAsia"/>
                      <w:sz w:val="21"/>
                      <w:szCs w:val="21"/>
                    </w:rPr>
                    <w:t>牛街污水厂</w:t>
                  </w:r>
                </w:p>
              </w:tc>
              <w:tc>
                <w:tcPr>
                  <w:tcW w:w="638" w:type="dxa"/>
                  <w:vAlign w:val="center"/>
                </w:tcPr>
                <w:p>
                  <w:pPr>
                    <w:pStyle w:val="104"/>
                    <w:adjustRightInd w:val="0"/>
                    <w:snapToGrid w:val="0"/>
                    <w:spacing w:line="240" w:lineRule="auto"/>
                    <w:rPr>
                      <w:sz w:val="21"/>
                      <w:szCs w:val="21"/>
                    </w:rPr>
                  </w:pPr>
                  <w:r>
                    <w:rPr>
                      <w:rFonts w:hint="eastAsia"/>
                      <w:sz w:val="21"/>
                      <w:szCs w:val="21"/>
                    </w:rPr>
                    <w:t>弥茨河</w:t>
                  </w:r>
                </w:p>
              </w:tc>
              <w:tc>
                <w:tcPr>
                  <w:tcW w:w="842" w:type="dxa"/>
                  <w:vAlign w:val="center"/>
                </w:tcPr>
                <w:p>
                  <w:pPr>
                    <w:pStyle w:val="104"/>
                    <w:adjustRightInd w:val="0"/>
                    <w:snapToGrid w:val="0"/>
                    <w:spacing w:line="240" w:lineRule="auto"/>
                    <w:rPr>
                      <w:sz w:val="21"/>
                      <w:szCs w:val="21"/>
                      <w:lang w:bidi="en-US"/>
                    </w:rPr>
                  </w:pPr>
                  <w:r>
                    <w:rPr>
                      <w:rFonts w:hint="eastAsia"/>
                      <w:sz w:val="21"/>
                      <w:szCs w:val="21"/>
                      <w:lang w:bidi="en-US"/>
                    </w:rPr>
                    <w:t>99.980176</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26.247833</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825" w:type="dxa"/>
                  <w:vAlign w:val="center"/>
                </w:tcPr>
                <w:p>
                  <w:pPr>
                    <w:pStyle w:val="104"/>
                    <w:adjustRightInd w:val="0"/>
                    <w:snapToGrid w:val="0"/>
                    <w:spacing w:line="240" w:lineRule="auto"/>
                    <w:rPr>
                      <w:sz w:val="21"/>
                      <w:szCs w:val="21"/>
                    </w:rPr>
                  </w:pPr>
                  <w:r>
                    <w:rPr>
                      <w:rFonts w:hint="eastAsia"/>
                      <w:sz w:val="21"/>
                      <w:szCs w:val="21"/>
                    </w:rPr>
                    <w:t>约400</w:t>
                  </w:r>
                </w:p>
              </w:tc>
              <w:tc>
                <w:tcPr>
                  <w:tcW w:w="1100" w:type="dxa"/>
                  <w:vAlign w:val="center"/>
                </w:tcPr>
                <w:p>
                  <w:pPr>
                    <w:pStyle w:val="104"/>
                    <w:adjustRightInd w:val="0"/>
                    <w:snapToGrid w:val="0"/>
                    <w:spacing w:line="240" w:lineRule="auto"/>
                    <w:rPr>
                      <w:sz w:val="21"/>
                      <w:szCs w:val="21"/>
                    </w:rPr>
                  </w:pPr>
                  <w:r>
                    <w:rPr>
                      <w:rFonts w:hint="eastAsia"/>
                      <w:sz w:val="21"/>
                      <w:szCs w:val="21"/>
                    </w:rPr>
                    <w:t>/</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pStyle w:val="104"/>
                    <w:adjustRightInd w:val="0"/>
                    <w:snapToGrid w:val="0"/>
                    <w:spacing w:line="240" w:lineRule="auto"/>
                    <w:rPr>
                      <w:color w:val="FF0000"/>
                      <w:sz w:val="21"/>
                      <w:szCs w:val="21"/>
                    </w:rPr>
                  </w:pPr>
                  <w:r>
                    <w:rPr>
                      <w:rFonts w:hint="eastAsia"/>
                      <w:color w:val="FF0000"/>
                      <w:sz w:val="21"/>
                      <w:szCs w:val="21"/>
                    </w:rPr>
                    <w:t>生态</w:t>
                  </w:r>
                </w:p>
              </w:tc>
              <w:tc>
                <w:tcPr>
                  <w:tcW w:w="6550" w:type="dxa"/>
                  <w:gridSpan w:val="8"/>
                  <w:vAlign w:val="center"/>
                </w:tcPr>
                <w:p>
                  <w:pPr>
                    <w:pStyle w:val="104"/>
                    <w:adjustRightInd w:val="0"/>
                    <w:snapToGrid w:val="0"/>
                    <w:spacing w:line="240" w:lineRule="auto"/>
                    <w:rPr>
                      <w:color w:val="FF0000"/>
                      <w:sz w:val="21"/>
                      <w:szCs w:val="21"/>
                    </w:rPr>
                  </w:pPr>
                  <w:r>
                    <w:rPr>
                      <w:rFonts w:hint="eastAsia"/>
                      <w:color w:val="FF0000"/>
                      <w:sz w:val="21"/>
                      <w:szCs w:val="21"/>
                    </w:rPr>
                    <w:t>项目区域及周围植被</w:t>
                  </w:r>
                </w:p>
              </w:tc>
              <w:tc>
                <w:tcPr>
                  <w:tcW w:w="1335" w:type="dxa"/>
                  <w:vAlign w:val="center"/>
                </w:tcPr>
                <w:p>
                  <w:pPr>
                    <w:pStyle w:val="104"/>
                    <w:adjustRightInd w:val="0"/>
                    <w:snapToGrid w:val="0"/>
                    <w:spacing w:line="240" w:lineRule="auto"/>
                    <w:jc w:val="left"/>
                    <w:rPr>
                      <w:color w:val="FF0000"/>
                      <w:sz w:val="21"/>
                      <w:szCs w:val="21"/>
                    </w:rPr>
                  </w:pPr>
                  <w:r>
                    <w:rPr>
                      <w:rFonts w:hint="eastAsia"/>
                      <w:color w:val="FF0000"/>
                      <w:sz w:val="21"/>
                      <w:szCs w:val="21"/>
                    </w:rPr>
                    <w:t>植被不被破坏</w:t>
                  </w:r>
                </w:p>
              </w:tc>
            </w:tr>
          </w:tbl>
          <w:p>
            <w:pPr>
              <w:pStyle w:val="10"/>
              <w:keepNext/>
              <w:adjustRightInd w:val="0"/>
              <w:snapToGrid w:val="0"/>
              <w:spacing w:beforeLines="100" w:after="0" w:line="360" w:lineRule="auto"/>
              <w:rPr>
                <w:rFonts w:ascii="Times New Roman" w:eastAsia="宋体"/>
                <w:b w:val="0"/>
                <w:sz w:val="21"/>
                <w:szCs w:val="21"/>
              </w:rPr>
            </w:pPr>
            <w:r>
              <w:rPr>
                <w:rFonts w:hint="eastAsia"/>
                <w:sz w:val="21"/>
                <w:szCs w:val="21"/>
              </w:rPr>
              <w:t xml:space="preserve"> </w:t>
            </w:r>
            <w:r>
              <w:rPr>
                <w:rFonts w:ascii="Times New Roman" w:eastAsia="宋体"/>
                <w:sz w:val="21"/>
                <w:szCs w:val="21"/>
              </w:rPr>
              <w:t>表3-</w:t>
            </w:r>
            <w:r>
              <w:rPr>
                <w:rFonts w:hint="eastAsia" w:ascii="Times New Roman" w:eastAsia="宋体"/>
                <w:sz w:val="21"/>
                <w:szCs w:val="21"/>
              </w:rPr>
              <w:t>6</w:t>
            </w:r>
            <w:r>
              <w:rPr>
                <w:rFonts w:ascii="Times New Roman" w:eastAsia="宋体"/>
                <w:sz w:val="21"/>
                <w:szCs w:val="21"/>
              </w:rPr>
              <w:t xml:space="preserve">  </w:t>
            </w:r>
            <w:r>
              <w:rPr>
                <w:rFonts w:hint="eastAsia" w:ascii="Times New Roman" w:eastAsia="宋体"/>
                <w:sz w:val="21"/>
                <w:szCs w:val="21"/>
              </w:rPr>
              <w:t>项目管网及配套工程</w:t>
            </w:r>
            <w:r>
              <w:rPr>
                <w:rFonts w:ascii="Times New Roman" w:eastAsia="宋体"/>
                <w:sz w:val="21"/>
                <w:szCs w:val="21"/>
              </w:rPr>
              <w:t>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72"/>
              <w:gridCol w:w="941"/>
              <w:gridCol w:w="2964"/>
              <w:gridCol w:w="137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Align w:val="center"/>
                </w:tcPr>
                <w:p>
                  <w:pPr>
                    <w:pStyle w:val="104"/>
                    <w:adjustRightInd w:val="0"/>
                    <w:snapToGrid w:val="0"/>
                    <w:spacing w:line="240" w:lineRule="auto"/>
                    <w:ind w:left="-170" w:leftChars="-71" w:right="-122" w:rightChars="-51"/>
                    <w:rPr>
                      <w:b/>
                      <w:bCs/>
                      <w:sz w:val="21"/>
                      <w:szCs w:val="21"/>
                    </w:rPr>
                  </w:pPr>
                  <w:r>
                    <w:rPr>
                      <w:b/>
                      <w:bCs/>
                      <w:sz w:val="21"/>
                      <w:szCs w:val="21"/>
                    </w:rPr>
                    <w:t>保护</w:t>
                  </w:r>
                </w:p>
                <w:p>
                  <w:pPr>
                    <w:pStyle w:val="104"/>
                    <w:adjustRightInd w:val="0"/>
                    <w:snapToGrid w:val="0"/>
                    <w:spacing w:line="240" w:lineRule="auto"/>
                    <w:ind w:left="-170" w:leftChars="-71" w:right="-122" w:rightChars="-51"/>
                    <w:rPr>
                      <w:b/>
                      <w:bCs/>
                      <w:sz w:val="21"/>
                      <w:szCs w:val="21"/>
                    </w:rPr>
                  </w:pPr>
                  <w:r>
                    <w:rPr>
                      <w:b/>
                      <w:bCs/>
                      <w:sz w:val="21"/>
                      <w:szCs w:val="21"/>
                    </w:rPr>
                    <w:t>类别</w:t>
                  </w:r>
                </w:p>
              </w:tc>
              <w:tc>
                <w:tcPr>
                  <w:tcW w:w="872" w:type="dxa"/>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乡镇</w:t>
                  </w:r>
                </w:p>
              </w:tc>
              <w:tc>
                <w:tcPr>
                  <w:tcW w:w="941" w:type="dxa"/>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行政村</w:t>
                  </w:r>
                </w:p>
              </w:tc>
              <w:tc>
                <w:tcPr>
                  <w:tcW w:w="2964" w:type="dxa"/>
                  <w:vAlign w:val="center"/>
                </w:tcPr>
                <w:p>
                  <w:pPr>
                    <w:pStyle w:val="104"/>
                    <w:adjustRightInd w:val="0"/>
                    <w:snapToGrid w:val="0"/>
                    <w:spacing w:line="240" w:lineRule="auto"/>
                    <w:rPr>
                      <w:b/>
                      <w:bCs/>
                      <w:sz w:val="21"/>
                      <w:szCs w:val="21"/>
                    </w:rPr>
                  </w:pPr>
                  <w:r>
                    <w:rPr>
                      <w:b/>
                      <w:bCs/>
                      <w:sz w:val="21"/>
                      <w:szCs w:val="21"/>
                    </w:rPr>
                    <w:t>环境保护目标</w:t>
                  </w:r>
                </w:p>
              </w:tc>
              <w:tc>
                <w:tcPr>
                  <w:tcW w:w="1379" w:type="dxa"/>
                  <w:vAlign w:val="center"/>
                </w:tcPr>
                <w:p>
                  <w:pPr>
                    <w:pStyle w:val="104"/>
                    <w:adjustRightInd w:val="0"/>
                    <w:snapToGrid w:val="0"/>
                    <w:spacing w:line="240" w:lineRule="auto"/>
                    <w:rPr>
                      <w:b/>
                      <w:bCs/>
                      <w:sz w:val="21"/>
                      <w:szCs w:val="21"/>
                    </w:rPr>
                  </w:pPr>
                  <w:r>
                    <w:rPr>
                      <w:b/>
                      <w:bCs/>
                      <w:sz w:val="21"/>
                      <w:szCs w:val="21"/>
                    </w:rPr>
                    <w:t>环境保护目标基本情况</w:t>
                  </w:r>
                </w:p>
              </w:tc>
              <w:tc>
                <w:tcPr>
                  <w:tcW w:w="1620" w:type="dxa"/>
                  <w:vAlign w:val="center"/>
                </w:tcPr>
                <w:p>
                  <w:pPr>
                    <w:pStyle w:val="104"/>
                    <w:adjustRightInd w:val="0"/>
                    <w:snapToGrid w:val="0"/>
                    <w:spacing w:line="240" w:lineRule="auto"/>
                    <w:rPr>
                      <w:b/>
                      <w:bCs/>
                      <w:sz w:val="21"/>
                      <w:szCs w:val="21"/>
                    </w:rPr>
                  </w:pPr>
                  <w:r>
                    <w:rPr>
                      <w:rFonts w:hint="eastAsia"/>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restart"/>
                  <w:vAlign w:val="center"/>
                </w:tcPr>
                <w:p>
                  <w:pPr>
                    <w:pStyle w:val="104"/>
                    <w:adjustRightInd w:val="0"/>
                    <w:snapToGrid w:val="0"/>
                    <w:spacing w:line="240" w:lineRule="auto"/>
                    <w:rPr>
                      <w:sz w:val="21"/>
                      <w:szCs w:val="21"/>
                    </w:rPr>
                  </w:pPr>
                  <w:r>
                    <w:rPr>
                      <w:sz w:val="21"/>
                      <w:szCs w:val="21"/>
                    </w:rPr>
                    <w:t>大气环境</w:t>
                  </w:r>
                  <w:r>
                    <w:rPr>
                      <w:rFonts w:hint="eastAsia"/>
                      <w:sz w:val="21"/>
                      <w:szCs w:val="21"/>
                    </w:rPr>
                    <w:t>、声环境</w:t>
                  </w:r>
                </w:p>
              </w:tc>
              <w:tc>
                <w:tcPr>
                  <w:tcW w:w="872" w:type="dxa"/>
                  <w:vMerge w:val="restart"/>
                  <w:vAlign w:val="center"/>
                </w:tcPr>
                <w:p>
                  <w:pPr>
                    <w:widowControl/>
                    <w:adjustRightInd w:val="0"/>
                    <w:snapToGrid w:val="0"/>
                    <w:jc w:val="center"/>
                    <w:rPr>
                      <w:sz w:val="21"/>
                      <w:szCs w:val="21"/>
                    </w:rPr>
                  </w:pPr>
                  <w:r>
                    <w:rPr>
                      <w:rFonts w:hint="eastAsia"/>
                      <w:sz w:val="21"/>
                      <w:szCs w:val="21"/>
                    </w:rPr>
                    <w:t>茈碧湖镇</w:t>
                  </w:r>
                </w:p>
              </w:tc>
              <w:tc>
                <w:tcPr>
                  <w:tcW w:w="941" w:type="dxa"/>
                  <w:vAlign w:val="center"/>
                </w:tcPr>
                <w:p>
                  <w:pPr>
                    <w:widowControl/>
                    <w:adjustRightInd w:val="0"/>
                    <w:snapToGrid w:val="0"/>
                    <w:jc w:val="center"/>
                    <w:rPr>
                      <w:sz w:val="21"/>
                      <w:szCs w:val="21"/>
                    </w:rPr>
                  </w:pPr>
                  <w:r>
                    <w:rPr>
                      <w:rFonts w:hint="eastAsia"/>
                      <w:sz w:val="21"/>
                      <w:szCs w:val="21"/>
                    </w:rPr>
                    <w:t>丰源</w:t>
                  </w:r>
                </w:p>
              </w:tc>
              <w:tc>
                <w:tcPr>
                  <w:tcW w:w="2964" w:type="dxa"/>
                  <w:vAlign w:val="center"/>
                </w:tcPr>
                <w:p>
                  <w:pPr>
                    <w:widowControl/>
                    <w:adjustRightInd w:val="0"/>
                    <w:snapToGrid w:val="0"/>
                    <w:jc w:val="center"/>
                    <w:rPr>
                      <w:sz w:val="21"/>
                      <w:szCs w:val="21"/>
                    </w:rPr>
                  </w:pPr>
                  <w:r>
                    <w:rPr>
                      <w:rFonts w:hint="eastAsia"/>
                      <w:sz w:val="21"/>
                      <w:szCs w:val="21"/>
                    </w:rPr>
                    <w:t>小南山村</w:t>
                  </w:r>
                </w:p>
              </w:tc>
              <w:tc>
                <w:tcPr>
                  <w:tcW w:w="1379" w:type="dxa"/>
                  <w:vMerge w:val="restart"/>
                  <w:vAlign w:val="center"/>
                </w:tcPr>
                <w:p>
                  <w:pPr>
                    <w:widowControl/>
                    <w:adjustRightInd w:val="0"/>
                    <w:snapToGrid w:val="0"/>
                    <w:jc w:val="center"/>
                    <w:rPr>
                      <w:sz w:val="21"/>
                      <w:szCs w:val="21"/>
                    </w:rPr>
                  </w:pPr>
                  <w:r>
                    <w:rPr>
                      <w:rFonts w:hint="eastAsia"/>
                      <w:sz w:val="21"/>
                      <w:szCs w:val="21"/>
                    </w:rPr>
                    <w:t>污水管网</w:t>
                  </w:r>
                </w:p>
                <w:p>
                  <w:pPr>
                    <w:widowControl/>
                    <w:adjustRightInd w:val="0"/>
                    <w:snapToGrid w:val="0"/>
                    <w:jc w:val="center"/>
                    <w:rPr>
                      <w:sz w:val="21"/>
                      <w:szCs w:val="21"/>
                    </w:rPr>
                  </w:pPr>
                  <w:r>
                    <w:rPr>
                      <w:rFonts w:hint="eastAsia"/>
                      <w:sz w:val="21"/>
                      <w:szCs w:val="21"/>
                    </w:rPr>
                    <w:t>200m 范围内的村民</w:t>
                  </w:r>
                </w:p>
              </w:tc>
              <w:tc>
                <w:tcPr>
                  <w:tcW w:w="1620" w:type="dxa"/>
                  <w:vMerge w:val="restart"/>
                  <w:vAlign w:val="center"/>
                </w:tcPr>
                <w:p>
                  <w:pPr>
                    <w:pStyle w:val="104"/>
                    <w:adjustRightInd w:val="0"/>
                    <w:snapToGrid w:val="0"/>
                    <w:spacing w:line="240" w:lineRule="auto"/>
                    <w:rPr>
                      <w:sz w:val="21"/>
                      <w:szCs w:val="21"/>
                    </w:rPr>
                  </w:pPr>
                  <w:r>
                    <w:rPr>
                      <w:sz w:val="21"/>
                      <w:szCs w:val="21"/>
                    </w:rPr>
                    <w:t>《环境空气质量标准》（GB3095-2012）二级</w:t>
                  </w:r>
                  <w:r>
                    <w:rPr>
                      <w:rFonts w:hint="eastAsia"/>
                      <w:sz w:val="21"/>
                      <w:szCs w:val="21"/>
                    </w:rPr>
                    <w:t>、</w:t>
                  </w:r>
                  <w:r>
                    <w:rPr>
                      <w:sz w:val="21"/>
                      <w:szCs w:val="21"/>
                    </w:rPr>
                    <w:t>《声环境质量标准》（GB3096</w:t>
                  </w:r>
                  <w:r>
                    <w:rPr>
                      <w:rFonts w:hint="eastAsia"/>
                      <w:sz w:val="21"/>
                      <w:szCs w:val="21"/>
                    </w:rPr>
                    <w:t>-</w:t>
                  </w:r>
                  <w:r>
                    <w:rPr>
                      <w:sz w:val="21"/>
                      <w:szCs w:val="21"/>
                    </w:rPr>
                    <w:t>2008）</w:t>
                  </w:r>
                  <w:r>
                    <w:rPr>
                      <w:rFonts w:hint="eastAsia"/>
                      <w:sz w:val="21"/>
                      <w:szCs w:val="21"/>
                    </w:rPr>
                    <w:t>2</w:t>
                  </w:r>
                  <w:r>
                    <w:rPr>
                      <w:sz w:val="21"/>
                      <w:szCs w:val="21"/>
                    </w:rPr>
                    <w:t>类标准</w:t>
                  </w:r>
                </w:p>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中炼</w:t>
                  </w:r>
                </w:p>
              </w:tc>
              <w:tc>
                <w:tcPr>
                  <w:tcW w:w="2964" w:type="dxa"/>
                  <w:vAlign w:val="center"/>
                </w:tcPr>
                <w:p>
                  <w:pPr>
                    <w:widowControl/>
                    <w:adjustRightInd w:val="0"/>
                    <w:snapToGrid w:val="0"/>
                    <w:jc w:val="center"/>
                    <w:rPr>
                      <w:sz w:val="21"/>
                      <w:szCs w:val="21"/>
                    </w:rPr>
                  </w:pPr>
                  <w:r>
                    <w:rPr>
                      <w:rFonts w:hint="eastAsia"/>
                      <w:sz w:val="21"/>
                      <w:szCs w:val="21"/>
                    </w:rPr>
                    <w:t>上中村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巡检</w:t>
                  </w:r>
                </w:p>
              </w:tc>
              <w:tc>
                <w:tcPr>
                  <w:tcW w:w="2964" w:type="dxa"/>
                  <w:vAlign w:val="center"/>
                </w:tcPr>
                <w:p>
                  <w:pPr>
                    <w:widowControl/>
                    <w:adjustRightInd w:val="0"/>
                    <w:snapToGrid w:val="0"/>
                    <w:jc w:val="center"/>
                    <w:rPr>
                      <w:sz w:val="21"/>
                      <w:szCs w:val="21"/>
                    </w:rPr>
                  </w:pPr>
                  <w:r>
                    <w:rPr>
                      <w:rFonts w:hint="eastAsia"/>
                      <w:sz w:val="21"/>
                      <w:szCs w:val="21"/>
                    </w:rPr>
                    <w:t>巡检村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鹅墩</w:t>
                  </w:r>
                </w:p>
              </w:tc>
              <w:tc>
                <w:tcPr>
                  <w:tcW w:w="2964" w:type="dxa"/>
                  <w:vAlign w:val="center"/>
                </w:tcPr>
                <w:p>
                  <w:pPr>
                    <w:widowControl/>
                    <w:adjustRightInd w:val="0"/>
                    <w:snapToGrid w:val="0"/>
                    <w:jc w:val="center"/>
                    <w:rPr>
                      <w:sz w:val="21"/>
                      <w:szCs w:val="21"/>
                    </w:rPr>
                  </w:pPr>
                  <w:r>
                    <w:rPr>
                      <w:rFonts w:hint="eastAsia"/>
                      <w:sz w:val="21"/>
                      <w:szCs w:val="21"/>
                    </w:rPr>
                    <w:t>干荞村、鹅墩村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永联</w:t>
                  </w:r>
                </w:p>
              </w:tc>
              <w:tc>
                <w:tcPr>
                  <w:tcW w:w="2964" w:type="dxa"/>
                  <w:vAlign w:val="center"/>
                </w:tcPr>
                <w:p>
                  <w:pPr>
                    <w:widowControl/>
                    <w:adjustRightInd w:val="0"/>
                    <w:snapToGrid w:val="0"/>
                    <w:jc w:val="center"/>
                    <w:rPr>
                      <w:sz w:val="21"/>
                      <w:szCs w:val="21"/>
                    </w:rPr>
                  </w:pPr>
                  <w:r>
                    <w:rPr>
                      <w:rFonts w:hint="eastAsia"/>
                      <w:sz w:val="21"/>
                      <w:szCs w:val="21"/>
                    </w:rPr>
                    <w:t>大佛村、中前所村、运亨村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果胜</w:t>
                  </w:r>
                </w:p>
              </w:tc>
              <w:tc>
                <w:tcPr>
                  <w:tcW w:w="2964" w:type="dxa"/>
                  <w:vAlign w:val="center"/>
                </w:tcPr>
                <w:p>
                  <w:pPr>
                    <w:widowControl/>
                    <w:adjustRightInd w:val="0"/>
                    <w:snapToGrid w:val="0"/>
                    <w:jc w:val="center"/>
                    <w:rPr>
                      <w:sz w:val="21"/>
                      <w:szCs w:val="21"/>
                    </w:rPr>
                  </w:pPr>
                  <w:r>
                    <w:rPr>
                      <w:rFonts w:hint="eastAsia"/>
                      <w:sz w:val="21"/>
                      <w:szCs w:val="21"/>
                    </w:rPr>
                    <w:t>大果村、回果村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永兴</w:t>
                  </w:r>
                </w:p>
              </w:tc>
              <w:tc>
                <w:tcPr>
                  <w:tcW w:w="2964" w:type="dxa"/>
                  <w:vAlign w:val="center"/>
                </w:tcPr>
                <w:p>
                  <w:pPr>
                    <w:widowControl/>
                    <w:adjustRightInd w:val="0"/>
                    <w:snapToGrid w:val="0"/>
                    <w:jc w:val="center"/>
                    <w:rPr>
                      <w:sz w:val="21"/>
                      <w:szCs w:val="21"/>
                    </w:rPr>
                  </w:pPr>
                  <w:r>
                    <w:rPr>
                      <w:rFonts w:hint="eastAsia"/>
                      <w:sz w:val="21"/>
                      <w:szCs w:val="21"/>
                    </w:rPr>
                    <w:t>永兴村、海口村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右所镇</w:t>
                  </w:r>
                </w:p>
              </w:tc>
              <w:tc>
                <w:tcPr>
                  <w:tcW w:w="941" w:type="dxa"/>
                  <w:vAlign w:val="center"/>
                </w:tcPr>
                <w:p>
                  <w:pPr>
                    <w:widowControl/>
                    <w:adjustRightInd w:val="0"/>
                    <w:snapToGrid w:val="0"/>
                    <w:jc w:val="center"/>
                    <w:rPr>
                      <w:sz w:val="21"/>
                      <w:szCs w:val="21"/>
                    </w:rPr>
                  </w:pPr>
                  <w:r>
                    <w:rPr>
                      <w:rFonts w:hint="eastAsia"/>
                      <w:sz w:val="21"/>
                      <w:szCs w:val="21"/>
                    </w:rPr>
                    <w:t>三枚</w:t>
                  </w:r>
                </w:p>
              </w:tc>
              <w:tc>
                <w:tcPr>
                  <w:tcW w:w="2964" w:type="dxa"/>
                  <w:vAlign w:val="center"/>
                </w:tcPr>
                <w:p>
                  <w:pPr>
                    <w:widowControl/>
                    <w:adjustRightInd w:val="0"/>
                    <w:snapToGrid w:val="0"/>
                    <w:jc w:val="center"/>
                    <w:rPr>
                      <w:sz w:val="21"/>
                      <w:szCs w:val="21"/>
                    </w:rPr>
                  </w:pPr>
                  <w:r>
                    <w:rPr>
                      <w:rFonts w:hint="eastAsia"/>
                      <w:sz w:val="21"/>
                      <w:szCs w:val="21"/>
                    </w:rPr>
                    <w:t>大旺</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团结</w:t>
                  </w:r>
                </w:p>
              </w:tc>
              <w:tc>
                <w:tcPr>
                  <w:tcW w:w="2964" w:type="dxa"/>
                  <w:vAlign w:val="center"/>
                </w:tcPr>
                <w:p>
                  <w:pPr>
                    <w:widowControl/>
                    <w:adjustRightInd w:val="0"/>
                    <w:snapToGrid w:val="0"/>
                    <w:jc w:val="center"/>
                    <w:rPr>
                      <w:sz w:val="21"/>
                      <w:szCs w:val="21"/>
                    </w:rPr>
                  </w:pPr>
                  <w:r>
                    <w:rPr>
                      <w:rFonts w:hint="eastAsia"/>
                      <w:sz w:val="21"/>
                      <w:szCs w:val="21"/>
                    </w:rPr>
                    <w:t>绿玉池、波中、波尾</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凤羽镇</w:t>
                  </w:r>
                </w:p>
              </w:tc>
              <w:tc>
                <w:tcPr>
                  <w:tcW w:w="941" w:type="dxa"/>
                  <w:vAlign w:val="center"/>
                </w:tcPr>
                <w:p>
                  <w:pPr>
                    <w:widowControl/>
                    <w:adjustRightInd w:val="0"/>
                    <w:snapToGrid w:val="0"/>
                    <w:jc w:val="center"/>
                    <w:rPr>
                      <w:sz w:val="21"/>
                      <w:szCs w:val="21"/>
                    </w:rPr>
                  </w:pPr>
                  <w:r>
                    <w:rPr>
                      <w:rFonts w:hint="eastAsia"/>
                      <w:sz w:val="21"/>
                      <w:szCs w:val="21"/>
                    </w:rPr>
                    <w:t>凤翔</w:t>
                  </w:r>
                </w:p>
              </w:tc>
              <w:tc>
                <w:tcPr>
                  <w:tcW w:w="2964" w:type="dxa"/>
                  <w:vAlign w:val="center"/>
                </w:tcPr>
                <w:p>
                  <w:pPr>
                    <w:widowControl/>
                    <w:adjustRightInd w:val="0"/>
                    <w:snapToGrid w:val="0"/>
                    <w:jc w:val="center"/>
                    <w:rPr>
                      <w:sz w:val="21"/>
                      <w:szCs w:val="21"/>
                    </w:rPr>
                  </w:pPr>
                  <w:r>
                    <w:rPr>
                      <w:rFonts w:hint="eastAsia"/>
                      <w:sz w:val="21"/>
                      <w:szCs w:val="21"/>
                    </w:rPr>
                    <w:t>新区</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振兴</w:t>
                  </w:r>
                </w:p>
              </w:tc>
              <w:tc>
                <w:tcPr>
                  <w:tcW w:w="2964" w:type="dxa"/>
                  <w:vAlign w:val="center"/>
                </w:tcPr>
                <w:p>
                  <w:pPr>
                    <w:widowControl/>
                    <w:adjustRightInd w:val="0"/>
                    <w:snapToGrid w:val="0"/>
                    <w:jc w:val="center"/>
                    <w:rPr>
                      <w:sz w:val="21"/>
                      <w:szCs w:val="21"/>
                    </w:rPr>
                  </w:pPr>
                  <w:r>
                    <w:rPr>
                      <w:rFonts w:hint="eastAsia"/>
                      <w:sz w:val="21"/>
                      <w:szCs w:val="21"/>
                    </w:rPr>
                    <w:t>振兴</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风河村</w:t>
                  </w:r>
                </w:p>
              </w:tc>
              <w:tc>
                <w:tcPr>
                  <w:tcW w:w="2964" w:type="dxa"/>
                  <w:vAlign w:val="center"/>
                </w:tcPr>
                <w:p>
                  <w:pPr>
                    <w:widowControl/>
                    <w:adjustRightInd w:val="0"/>
                    <w:snapToGrid w:val="0"/>
                    <w:jc w:val="center"/>
                    <w:rPr>
                      <w:sz w:val="21"/>
                      <w:szCs w:val="21"/>
                    </w:rPr>
                  </w:pPr>
                  <w:r>
                    <w:rPr>
                      <w:rFonts w:hint="eastAsia"/>
                      <w:sz w:val="21"/>
                      <w:szCs w:val="21"/>
                    </w:rPr>
                    <w:t>正生、大村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江登村</w:t>
                  </w:r>
                </w:p>
              </w:tc>
              <w:tc>
                <w:tcPr>
                  <w:tcW w:w="2964" w:type="dxa"/>
                  <w:vAlign w:val="center"/>
                </w:tcPr>
                <w:p>
                  <w:pPr>
                    <w:widowControl/>
                    <w:adjustRightInd w:val="0"/>
                    <w:snapToGrid w:val="0"/>
                    <w:jc w:val="center"/>
                    <w:rPr>
                      <w:sz w:val="21"/>
                      <w:szCs w:val="21"/>
                    </w:rPr>
                  </w:pPr>
                  <w:r>
                    <w:rPr>
                      <w:rFonts w:hint="eastAsia"/>
                      <w:sz w:val="21"/>
                      <w:szCs w:val="21"/>
                    </w:rPr>
                    <w:t>江登</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上寺</w:t>
                  </w:r>
                </w:p>
              </w:tc>
              <w:tc>
                <w:tcPr>
                  <w:tcW w:w="2964" w:type="dxa"/>
                  <w:vAlign w:val="center"/>
                </w:tcPr>
                <w:p>
                  <w:pPr>
                    <w:widowControl/>
                    <w:adjustRightInd w:val="0"/>
                    <w:snapToGrid w:val="0"/>
                    <w:jc w:val="center"/>
                    <w:rPr>
                      <w:sz w:val="21"/>
                      <w:szCs w:val="21"/>
                    </w:rPr>
                  </w:pPr>
                  <w:r>
                    <w:rPr>
                      <w:rFonts w:hint="eastAsia"/>
                      <w:sz w:val="21"/>
                      <w:szCs w:val="21"/>
                    </w:rPr>
                    <w:t>旧邑、大涧村、南充、义和、上寺</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源胜</w:t>
                  </w:r>
                </w:p>
              </w:tc>
              <w:tc>
                <w:tcPr>
                  <w:tcW w:w="2964" w:type="dxa"/>
                  <w:vAlign w:val="center"/>
                </w:tcPr>
                <w:p>
                  <w:pPr>
                    <w:widowControl/>
                    <w:adjustRightInd w:val="0"/>
                    <w:snapToGrid w:val="0"/>
                    <w:jc w:val="center"/>
                    <w:rPr>
                      <w:sz w:val="21"/>
                      <w:szCs w:val="21"/>
                    </w:rPr>
                  </w:pPr>
                  <w:r>
                    <w:rPr>
                      <w:rFonts w:hint="eastAsia"/>
                      <w:sz w:val="21"/>
                      <w:szCs w:val="21"/>
                    </w:rPr>
                    <w:t>杨柳、大充、马头、柒树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白米</w:t>
                  </w:r>
                </w:p>
              </w:tc>
              <w:tc>
                <w:tcPr>
                  <w:tcW w:w="2964" w:type="dxa"/>
                  <w:vAlign w:val="center"/>
                </w:tcPr>
                <w:p>
                  <w:pPr>
                    <w:widowControl/>
                    <w:adjustRightInd w:val="0"/>
                    <w:snapToGrid w:val="0"/>
                    <w:jc w:val="center"/>
                    <w:rPr>
                      <w:sz w:val="21"/>
                      <w:szCs w:val="21"/>
                    </w:rPr>
                  </w:pPr>
                  <w:r>
                    <w:rPr>
                      <w:rFonts w:hint="eastAsia"/>
                      <w:sz w:val="21"/>
                      <w:szCs w:val="21"/>
                    </w:rPr>
                    <w:t>白米、草甲、马甲</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牛街乡</w:t>
                  </w:r>
                </w:p>
              </w:tc>
              <w:tc>
                <w:tcPr>
                  <w:tcW w:w="941" w:type="dxa"/>
                  <w:vAlign w:val="center"/>
                </w:tcPr>
                <w:p>
                  <w:pPr>
                    <w:widowControl/>
                    <w:adjustRightInd w:val="0"/>
                    <w:snapToGrid w:val="0"/>
                    <w:jc w:val="center"/>
                    <w:rPr>
                      <w:sz w:val="21"/>
                      <w:szCs w:val="21"/>
                    </w:rPr>
                  </w:pPr>
                  <w:r>
                    <w:rPr>
                      <w:rFonts w:hint="eastAsia"/>
                      <w:sz w:val="21"/>
                      <w:szCs w:val="21"/>
                    </w:rPr>
                    <w:t>西坡</w:t>
                  </w:r>
                </w:p>
              </w:tc>
              <w:tc>
                <w:tcPr>
                  <w:tcW w:w="2964" w:type="dxa"/>
                  <w:vAlign w:val="center"/>
                </w:tcPr>
                <w:p>
                  <w:pPr>
                    <w:widowControl/>
                    <w:adjustRightInd w:val="0"/>
                    <w:snapToGrid w:val="0"/>
                    <w:jc w:val="center"/>
                    <w:rPr>
                      <w:sz w:val="21"/>
                      <w:szCs w:val="21"/>
                    </w:rPr>
                  </w:pPr>
                  <w:r>
                    <w:rPr>
                      <w:rFonts w:hint="eastAsia"/>
                      <w:sz w:val="21"/>
                      <w:szCs w:val="21"/>
                    </w:rPr>
                    <w:t>鳌头、文曲</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西甸</w:t>
                  </w:r>
                </w:p>
              </w:tc>
              <w:tc>
                <w:tcPr>
                  <w:tcW w:w="2964" w:type="dxa"/>
                  <w:vAlign w:val="center"/>
                </w:tcPr>
                <w:p>
                  <w:pPr>
                    <w:widowControl/>
                    <w:adjustRightInd w:val="0"/>
                    <w:snapToGrid w:val="0"/>
                    <w:jc w:val="center"/>
                    <w:rPr>
                      <w:sz w:val="21"/>
                      <w:szCs w:val="21"/>
                    </w:rPr>
                  </w:pPr>
                  <w:r>
                    <w:rPr>
                      <w:rFonts w:hint="eastAsia"/>
                      <w:sz w:val="21"/>
                      <w:szCs w:val="21"/>
                    </w:rPr>
                    <w:t>渔潭</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太平</w:t>
                  </w:r>
                </w:p>
              </w:tc>
              <w:tc>
                <w:tcPr>
                  <w:tcW w:w="2964" w:type="dxa"/>
                  <w:vAlign w:val="center"/>
                </w:tcPr>
                <w:p>
                  <w:pPr>
                    <w:widowControl/>
                    <w:adjustRightInd w:val="0"/>
                    <w:snapToGrid w:val="0"/>
                    <w:jc w:val="center"/>
                    <w:rPr>
                      <w:sz w:val="21"/>
                      <w:szCs w:val="21"/>
                    </w:rPr>
                  </w:pPr>
                  <w:r>
                    <w:rPr>
                      <w:rFonts w:hint="eastAsia"/>
                      <w:sz w:val="21"/>
                      <w:szCs w:val="21"/>
                    </w:rPr>
                    <w:t>白玉</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龙门</w:t>
                  </w:r>
                </w:p>
              </w:tc>
              <w:tc>
                <w:tcPr>
                  <w:tcW w:w="2964" w:type="dxa"/>
                  <w:vAlign w:val="center"/>
                </w:tcPr>
                <w:p>
                  <w:pPr>
                    <w:widowControl/>
                    <w:adjustRightInd w:val="0"/>
                    <w:snapToGrid w:val="0"/>
                    <w:jc w:val="center"/>
                    <w:rPr>
                      <w:sz w:val="21"/>
                      <w:szCs w:val="21"/>
                    </w:rPr>
                  </w:pPr>
                  <w:r>
                    <w:rPr>
                      <w:rFonts w:hint="eastAsia"/>
                      <w:sz w:val="21"/>
                      <w:szCs w:val="21"/>
                    </w:rPr>
                    <w:t>下协和、上协和</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三营镇</w:t>
                  </w:r>
                </w:p>
              </w:tc>
              <w:tc>
                <w:tcPr>
                  <w:tcW w:w="941" w:type="dxa"/>
                  <w:vAlign w:val="center"/>
                </w:tcPr>
                <w:p>
                  <w:pPr>
                    <w:widowControl/>
                    <w:adjustRightInd w:val="0"/>
                    <w:snapToGrid w:val="0"/>
                    <w:jc w:val="center"/>
                    <w:rPr>
                      <w:sz w:val="21"/>
                      <w:szCs w:val="21"/>
                    </w:rPr>
                  </w:pPr>
                  <w:r>
                    <w:rPr>
                      <w:rFonts w:hint="eastAsia"/>
                      <w:sz w:val="21"/>
                      <w:szCs w:val="21"/>
                    </w:rPr>
                    <w:t>共和</w:t>
                  </w:r>
                </w:p>
              </w:tc>
              <w:tc>
                <w:tcPr>
                  <w:tcW w:w="2964" w:type="dxa"/>
                  <w:vAlign w:val="center"/>
                </w:tcPr>
                <w:p>
                  <w:pPr>
                    <w:widowControl/>
                    <w:adjustRightInd w:val="0"/>
                    <w:snapToGrid w:val="0"/>
                    <w:jc w:val="center"/>
                    <w:rPr>
                      <w:sz w:val="21"/>
                      <w:szCs w:val="21"/>
                    </w:rPr>
                  </w:pPr>
                  <w:r>
                    <w:rPr>
                      <w:rFonts w:hint="eastAsia"/>
                      <w:sz w:val="21"/>
                      <w:szCs w:val="21"/>
                    </w:rPr>
                    <w:t>郑家庄</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新龙</w:t>
                  </w:r>
                </w:p>
              </w:tc>
              <w:tc>
                <w:tcPr>
                  <w:tcW w:w="2964" w:type="dxa"/>
                  <w:vAlign w:val="center"/>
                </w:tcPr>
                <w:p>
                  <w:pPr>
                    <w:widowControl/>
                    <w:adjustRightInd w:val="0"/>
                    <w:snapToGrid w:val="0"/>
                    <w:jc w:val="center"/>
                    <w:rPr>
                      <w:sz w:val="21"/>
                      <w:szCs w:val="21"/>
                    </w:rPr>
                  </w:pPr>
                  <w:r>
                    <w:rPr>
                      <w:rFonts w:hint="eastAsia"/>
                      <w:sz w:val="21"/>
                      <w:szCs w:val="21"/>
                    </w:rPr>
                    <w:t>新龙</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restart"/>
                  <w:vAlign w:val="center"/>
                </w:tcPr>
                <w:p>
                  <w:pPr>
                    <w:pStyle w:val="104"/>
                    <w:adjustRightInd w:val="0"/>
                    <w:snapToGrid w:val="0"/>
                    <w:spacing w:line="240" w:lineRule="auto"/>
                    <w:rPr>
                      <w:sz w:val="21"/>
                      <w:szCs w:val="21"/>
                    </w:rPr>
                  </w:pPr>
                  <w:r>
                    <w:rPr>
                      <w:sz w:val="21"/>
                      <w:szCs w:val="21"/>
                    </w:rPr>
                    <w:t>地表水</w:t>
                  </w:r>
                </w:p>
              </w:tc>
              <w:tc>
                <w:tcPr>
                  <w:tcW w:w="1813" w:type="dxa"/>
                  <w:gridSpan w:val="2"/>
                  <w:vMerge w:val="restart"/>
                  <w:vAlign w:val="center"/>
                </w:tcPr>
                <w:p>
                  <w:pPr>
                    <w:widowControl/>
                    <w:adjustRightInd w:val="0"/>
                    <w:snapToGrid w:val="0"/>
                    <w:jc w:val="center"/>
                    <w:rPr>
                      <w:sz w:val="21"/>
                      <w:szCs w:val="21"/>
                    </w:rPr>
                  </w:pPr>
                  <w:r>
                    <w:rPr>
                      <w:rFonts w:hint="eastAsia"/>
                      <w:sz w:val="21"/>
                      <w:szCs w:val="21"/>
                    </w:rPr>
                    <w:t>茈碧湖镇</w:t>
                  </w:r>
                </w:p>
              </w:tc>
              <w:tc>
                <w:tcPr>
                  <w:tcW w:w="2964" w:type="dxa"/>
                  <w:vAlign w:val="center"/>
                </w:tcPr>
                <w:p>
                  <w:pPr>
                    <w:widowControl/>
                    <w:adjustRightInd w:val="0"/>
                    <w:snapToGrid w:val="0"/>
                    <w:jc w:val="center"/>
                    <w:rPr>
                      <w:sz w:val="21"/>
                      <w:szCs w:val="21"/>
                    </w:rPr>
                  </w:pPr>
                  <w:r>
                    <w:rPr>
                      <w:rFonts w:hint="eastAsia"/>
                      <w:sz w:val="21"/>
                      <w:szCs w:val="21"/>
                    </w:rPr>
                    <w:t>弥苴河</w:t>
                  </w:r>
                </w:p>
              </w:tc>
              <w:tc>
                <w:tcPr>
                  <w:tcW w:w="1379" w:type="dxa"/>
                  <w:vMerge w:val="restart"/>
                  <w:vAlign w:val="center"/>
                </w:tcPr>
                <w:p>
                  <w:pPr>
                    <w:widowControl/>
                    <w:adjustRightInd w:val="0"/>
                    <w:snapToGrid w:val="0"/>
                    <w:jc w:val="center"/>
                    <w:rPr>
                      <w:sz w:val="21"/>
                      <w:szCs w:val="21"/>
                    </w:rPr>
                  </w:pPr>
                  <w:r>
                    <w:rPr>
                      <w:rFonts w:hint="eastAsia"/>
                      <w:sz w:val="21"/>
                      <w:szCs w:val="21"/>
                    </w:rPr>
                    <w:t>污水管网</w:t>
                  </w:r>
                </w:p>
                <w:p>
                  <w:pPr>
                    <w:widowControl/>
                    <w:adjustRightInd w:val="0"/>
                    <w:snapToGrid w:val="0"/>
                    <w:jc w:val="center"/>
                    <w:rPr>
                      <w:sz w:val="21"/>
                      <w:szCs w:val="21"/>
                    </w:rPr>
                  </w:pPr>
                  <w:r>
                    <w:rPr>
                      <w:rFonts w:hint="eastAsia"/>
                      <w:sz w:val="21"/>
                      <w:szCs w:val="21"/>
                    </w:rPr>
                    <w:t>2000m 范围内的水体</w:t>
                  </w:r>
                </w:p>
              </w:tc>
              <w:tc>
                <w:tcPr>
                  <w:tcW w:w="1620" w:type="dxa"/>
                  <w:vMerge w:val="restart"/>
                  <w:vAlign w:val="center"/>
                </w:tcPr>
                <w:p>
                  <w:pPr>
                    <w:pStyle w:val="104"/>
                    <w:adjustRightInd w:val="0"/>
                    <w:snapToGrid w:val="0"/>
                    <w:spacing w:line="240" w:lineRule="auto"/>
                    <w:rPr>
                      <w:sz w:val="21"/>
                      <w:szCs w:val="21"/>
                    </w:rPr>
                  </w:pPr>
                  <w:r>
                    <w:rPr>
                      <w:sz w:val="21"/>
                      <w:szCs w:val="21"/>
                    </w:rPr>
                    <w:t>《地表水环境质量标准》（GB3838-2002）</w:t>
                  </w:r>
                  <w:r>
                    <w:rPr>
                      <w:rFonts w:hint="eastAsia"/>
                      <w:bCs/>
                      <w:sz w:val="21"/>
                      <w:szCs w:val="21"/>
                    </w:rPr>
                    <w:t>Ⅱ</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continue"/>
                  <w:vAlign w:val="center"/>
                </w:tcPr>
                <w:p>
                  <w:pPr>
                    <w:widowControl/>
                    <w:adjustRightInd w:val="0"/>
                    <w:snapToGrid w:val="0"/>
                    <w:jc w:val="center"/>
                    <w:rPr>
                      <w:sz w:val="21"/>
                      <w:szCs w:val="21"/>
                    </w:rPr>
                  </w:pPr>
                </w:p>
              </w:tc>
              <w:tc>
                <w:tcPr>
                  <w:tcW w:w="2964" w:type="dxa"/>
                  <w:vAlign w:val="center"/>
                </w:tcPr>
                <w:p>
                  <w:pPr>
                    <w:widowControl/>
                    <w:adjustRightInd w:val="0"/>
                    <w:snapToGrid w:val="0"/>
                    <w:jc w:val="center"/>
                    <w:rPr>
                      <w:sz w:val="21"/>
                      <w:szCs w:val="21"/>
                    </w:rPr>
                  </w:pPr>
                  <w:r>
                    <w:rPr>
                      <w:rFonts w:hint="eastAsia"/>
                      <w:sz w:val="21"/>
                      <w:szCs w:val="21"/>
                    </w:rPr>
                    <w:t>凤羽河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continue"/>
                  <w:vAlign w:val="center"/>
                </w:tcPr>
                <w:p>
                  <w:pPr>
                    <w:widowControl/>
                    <w:adjustRightInd w:val="0"/>
                    <w:snapToGrid w:val="0"/>
                    <w:jc w:val="center"/>
                    <w:rPr>
                      <w:sz w:val="21"/>
                      <w:szCs w:val="21"/>
                    </w:rPr>
                  </w:pPr>
                </w:p>
              </w:tc>
              <w:tc>
                <w:tcPr>
                  <w:tcW w:w="2964" w:type="dxa"/>
                  <w:vAlign w:val="center"/>
                </w:tcPr>
                <w:p>
                  <w:pPr>
                    <w:widowControl/>
                    <w:adjustRightInd w:val="0"/>
                    <w:snapToGrid w:val="0"/>
                    <w:jc w:val="center"/>
                    <w:rPr>
                      <w:sz w:val="21"/>
                      <w:szCs w:val="21"/>
                    </w:rPr>
                  </w:pPr>
                  <w:r>
                    <w:rPr>
                      <w:rFonts w:hint="eastAsia"/>
                      <w:sz w:val="21"/>
                      <w:szCs w:val="21"/>
                    </w:rPr>
                    <w:t>茈碧湖</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restart"/>
                  <w:vAlign w:val="center"/>
                </w:tcPr>
                <w:p>
                  <w:pPr>
                    <w:widowControl/>
                    <w:adjustRightInd w:val="0"/>
                    <w:snapToGrid w:val="0"/>
                    <w:jc w:val="center"/>
                    <w:rPr>
                      <w:sz w:val="21"/>
                      <w:szCs w:val="21"/>
                    </w:rPr>
                  </w:pPr>
                  <w:r>
                    <w:rPr>
                      <w:rFonts w:hint="eastAsia"/>
                      <w:sz w:val="21"/>
                      <w:szCs w:val="21"/>
                    </w:rPr>
                    <w:t>右所镇</w:t>
                  </w:r>
                </w:p>
              </w:tc>
              <w:tc>
                <w:tcPr>
                  <w:tcW w:w="2964" w:type="dxa"/>
                  <w:vAlign w:val="center"/>
                </w:tcPr>
                <w:p>
                  <w:pPr>
                    <w:pStyle w:val="104"/>
                    <w:adjustRightInd w:val="0"/>
                    <w:snapToGrid w:val="0"/>
                    <w:spacing w:line="240" w:lineRule="auto"/>
                    <w:rPr>
                      <w:sz w:val="21"/>
                      <w:szCs w:val="21"/>
                    </w:rPr>
                  </w:pPr>
                  <w:r>
                    <w:rPr>
                      <w:rFonts w:hint="eastAsia"/>
                      <w:sz w:val="21"/>
                      <w:szCs w:val="21"/>
                    </w:rPr>
                    <w:t>弥苴河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continue"/>
                  <w:vAlign w:val="center"/>
                </w:tcPr>
                <w:p>
                  <w:pPr>
                    <w:widowControl/>
                    <w:adjustRightInd w:val="0"/>
                    <w:snapToGrid w:val="0"/>
                    <w:jc w:val="center"/>
                    <w:rPr>
                      <w:sz w:val="21"/>
                      <w:szCs w:val="21"/>
                    </w:rPr>
                  </w:pPr>
                </w:p>
              </w:tc>
              <w:tc>
                <w:tcPr>
                  <w:tcW w:w="2964" w:type="dxa"/>
                  <w:vAlign w:val="center"/>
                </w:tcPr>
                <w:p>
                  <w:pPr>
                    <w:pStyle w:val="104"/>
                    <w:adjustRightInd w:val="0"/>
                    <w:snapToGrid w:val="0"/>
                    <w:spacing w:line="240" w:lineRule="auto"/>
                    <w:rPr>
                      <w:sz w:val="21"/>
                      <w:szCs w:val="21"/>
                    </w:rPr>
                  </w:pPr>
                  <w:r>
                    <w:rPr>
                      <w:rFonts w:hint="eastAsia"/>
                      <w:sz w:val="21"/>
                      <w:szCs w:val="21"/>
                    </w:rPr>
                    <w:t>西湖</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Align w:val="center"/>
                </w:tcPr>
                <w:p>
                  <w:pPr>
                    <w:widowControl/>
                    <w:adjustRightInd w:val="0"/>
                    <w:snapToGrid w:val="0"/>
                    <w:jc w:val="center"/>
                    <w:rPr>
                      <w:sz w:val="21"/>
                      <w:szCs w:val="21"/>
                    </w:rPr>
                  </w:pPr>
                  <w:r>
                    <w:rPr>
                      <w:rFonts w:hint="eastAsia"/>
                      <w:sz w:val="21"/>
                      <w:szCs w:val="21"/>
                    </w:rPr>
                    <w:t>牛街乡</w:t>
                  </w:r>
                </w:p>
              </w:tc>
              <w:tc>
                <w:tcPr>
                  <w:tcW w:w="2964" w:type="dxa"/>
                  <w:vAlign w:val="center"/>
                </w:tcPr>
                <w:p>
                  <w:pPr>
                    <w:widowControl/>
                    <w:adjustRightInd w:val="0"/>
                    <w:snapToGrid w:val="0"/>
                    <w:jc w:val="center"/>
                    <w:rPr>
                      <w:sz w:val="21"/>
                      <w:szCs w:val="21"/>
                    </w:rPr>
                  </w:pPr>
                  <w:r>
                    <w:rPr>
                      <w:rFonts w:hint="eastAsia"/>
                      <w:sz w:val="21"/>
                      <w:szCs w:val="21"/>
                    </w:rPr>
                    <w:t>弥茨河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Align w:val="center"/>
                </w:tcPr>
                <w:p>
                  <w:pPr>
                    <w:widowControl/>
                    <w:adjustRightInd w:val="0"/>
                    <w:snapToGrid w:val="0"/>
                    <w:jc w:val="center"/>
                    <w:rPr>
                      <w:sz w:val="21"/>
                      <w:szCs w:val="21"/>
                    </w:rPr>
                  </w:pPr>
                  <w:r>
                    <w:rPr>
                      <w:rFonts w:hint="eastAsia"/>
                      <w:sz w:val="21"/>
                      <w:szCs w:val="21"/>
                    </w:rPr>
                    <w:t>三营镇</w:t>
                  </w:r>
                </w:p>
              </w:tc>
              <w:tc>
                <w:tcPr>
                  <w:tcW w:w="2964" w:type="dxa"/>
                  <w:vAlign w:val="center"/>
                </w:tcPr>
                <w:p>
                  <w:pPr>
                    <w:widowControl/>
                    <w:adjustRightInd w:val="0"/>
                    <w:snapToGrid w:val="0"/>
                    <w:jc w:val="center"/>
                    <w:rPr>
                      <w:sz w:val="21"/>
                      <w:szCs w:val="21"/>
                    </w:rPr>
                  </w:pPr>
                  <w:r>
                    <w:rPr>
                      <w:rFonts w:hint="eastAsia"/>
                      <w:sz w:val="21"/>
                      <w:szCs w:val="21"/>
                    </w:rPr>
                    <w:t>三营河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Align w:val="center"/>
                </w:tcPr>
                <w:p>
                  <w:pPr>
                    <w:pStyle w:val="104"/>
                    <w:adjustRightInd w:val="0"/>
                    <w:snapToGrid w:val="0"/>
                    <w:spacing w:line="240" w:lineRule="auto"/>
                    <w:rPr>
                      <w:sz w:val="21"/>
                      <w:szCs w:val="21"/>
                    </w:rPr>
                  </w:pPr>
                  <w:r>
                    <w:rPr>
                      <w:rFonts w:hint="eastAsia"/>
                      <w:sz w:val="21"/>
                      <w:szCs w:val="21"/>
                    </w:rPr>
                    <w:t>生态环境</w:t>
                  </w:r>
                </w:p>
              </w:tc>
              <w:tc>
                <w:tcPr>
                  <w:tcW w:w="6156" w:type="dxa"/>
                  <w:gridSpan w:val="4"/>
                  <w:vAlign w:val="center"/>
                </w:tcPr>
                <w:p>
                  <w:pPr>
                    <w:widowControl/>
                    <w:adjustRightInd w:val="0"/>
                    <w:snapToGrid w:val="0"/>
                    <w:jc w:val="center"/>
                    <w:rPr>
                      <w:sz w:val="21"/>
                      <w:szCs w:val="21"/>
                    </w:rPr>
                  </w:pPr>
                  <w:r>
                    <w:rPr>
                      <w:rFonts w:hint="eastAsia"/>
                      <w:sz w:val="21"/>
                      <w:szCs w:val="21"/>
                    </w:rPr>
                    <w:t>项目区域及管道沿线植被</w:t>
                  </w:r>
                </w:p>
              </w:tc>
              <w:tc>
                <w:tcPr>
                  <w:tcW w:w="1620" w:type="dxa"/>
                  <w:vAlign w:val="center"/>
                </w:tcPr>
                <w:p>
                  <w:pPr>
                    <w:pStyle w:val="104"/>
                    <w:adjustRightInd w:val="0"/>
                    <w:snapToGrid w:val="0"/>
                    <w:spacing w:line="240" w:lineRule="auto"/>
                    <w:rPr>
                      <w:sz w:val="21"/>
                      <w:szCs w:val="21"/>
                    </w:rPr>
                  </w:pPr>
                  <w:r>
                    <w:rPr>
                      <w:rFonts w:hint="eastAsia"/>
                      <w:sz w:val="21"/>
                      <w:szCs w:val="21"/>
                    </w:rPr>
                    <w:t>保护周围植被不被破坏</w:t>
                  </w:r>
                </w:p>
              </w:tc>
            </w:tr>
          </w:tbl>
          <w:p>
            <w:pPr>
              <w:rPr>
                <w:szCs w:val="21"/>
              </w:rPr>
            </w:pPr>
            <w:r>
              <w:rPr>
                <w:rFonts w:hint="eastAsia"/>
                <w:szCs w:val="21"/>
              </w:rPr>
              <w:t xml:space="preserve">     </w:t>
            </w:r>
          </w:p>
          <w:p>
            <w:pPr>
              <w:adjustRightInd w:val="0"/>
              <w:snapToGrid w:val="0"/>
              <w:spacing w:line="360" w:lineRule="auto"/>
              <w:jc w:val="center"/>
              <w:rPr>
                <w:b/>
                <w:bCs/>
                <w:sz w:val="21"/>
                <w:szCs w:val="16"/>
              </w:rPr>
            </w:pPr>
            <w:r>
              <w:rPr>
                <w:rFonts w:hint="eastAsia"/>
                <w:szCs w:val="21"/>
              </w:rPr>
              <w:t xml:space="preserve"> </w:t>
            </w:r>
            <w:r>
              <w:rPr>
                <w:b/>
                <w:bCs/>
                <w:sz w:val="21"/>
                <w:szCs w:val="16"/>
              </w:rPr>
              <w:t>表3-</w:t>
            </w:r>
            <w:r>
              <w:rPr>
                <w:rFonts w:hint="eastAsia"/>
                <w:b/>
                <w:bCs/>
                <w:sz w:val="21"/>
                <w:szCs w:val="16"/>
              </w:rPr>
              <w:t>7  项目村落污水处理站点</w:t>
            </w:r>
            <w:r>
              <w:rPr>
                <w:b/>
                <w:bCs/>
                <w:sz w:val="21"/>
                <w:szCs w:val="16"/>
              </w:rPr>
              <w:t>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64"/>
              <w:gridCol w:w="736"/>
              <w:gridCol w:w="886"/>
              <w:gridCol w:w="832"/>
              <w:gridCol w:w="982"/>
              <w:gridCol w:w="559"/>
              <w:gridCol w:w="900"/>
              <w:gridCol w:w="887"/>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pStyle w:val="104"/>
                    <w:adjustRightInd w:val="0"/>
                    <w:snapToGrid w:val="0"/>
                    <w:spacing w:line="240" w:lineRule="auto"/>
                    <w:rPr>
                      <w:b/>
                      <w:bCs/>
                      <w:sz w:val="21"/>
                      <w:szCs w:val="21"/>
                    </w:rPr>
                  </w:pPr>
                  <w:r>
                    <w:rPr>
                      <w:b/>
                      <w:bCs/>
                      <w:sz w:val="21"/>
                      <w:szCs w:val="21"/>
                    </w:rPr>
                    <w:t>保护类别</w:t>
                  </w:r>
                </w:p>
              </w:tc>
              <w:tc>
                <w:tcPr>
                  <w:tcW w:w="1064" w:type="dxa"/>
                  <w:vMerge w:val="restart"/>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项目</w:t>
                  </w:r>
                </w:p>
                <w:p>
                  <w:pPr>
                    <w:pStyle w:val="104"/>
                    <w:adjustRightInd w:val="0"/>
                    <w:snapToGrid w:val="0"/>
                    <w:spacing w:line="240" w:lineRule="auto"/>
                    <w:ind w:left="-170" w:leftChars="-71" w:right="-122" w:rightChars="-51"/>
                    <w:rPr>
                      <w:b/>
                      <w:bCs/>
                      <w:sz w:val="21"/>
                      <w:szCs w:val="21"/>
                    </w:rPr>
                  </w:pPr>
                  <w:r>
                    <w:rPr>
                      <w:rFonts w:hint="eastAsia"/>
                      <w:b/>
                      <w:bCs/>
                      <w:sz w:val="21"/>
                      <w:szCs w:val="21"/>
                    </w:rPr>
                    <w:t>名称</w:t>
                  </w:r>
                </w:p>
              </w:tc>
              <w:tc>
                <w:tcPr>
                  <w:tcW w:w="5782" w:type="dxa"/>
                  <w:gridSpan w:val="7"/>
                  <w:vAlign w:val="center"/>
                </w:tcPr>
                <w:p>
                  <w:pPr>
                    <w:pStyle w:val="104"/>
                    <w:adjustRightInd w:val="0"/>
                    <w:snapToGrid w:val="0"/>
                    <w:spacing w:line="240" w:lineRule="auto"/>
                    <w:rPr>
                      <w:b/>
                      <w:bCs/>
                      <w:sz w:val="21"/>
                      <w:szCs w:val="21"/>
                    </w:rPr>
                  </w:pPr>
                  <w:r>
                    <w:rPr>
                      <w:b/>
                      <w:bCs/>
                      <w:sz w:val="21"/>
                      <w:szCs w:val="21"/>
                    </w:rPr>
                    <w:t>环境保护目标基本情况</w:t>
                  </w:r>
                </w:p>
              </w:tc>
              <w:tc>
                <w:tcPr>
                  <w:tcW w:w="1294" w:type="dxa"/>
                  <w:vMerge w:val="restart"/>
                  <w:vAlign w:val="center"/>
                </w:tcPr>
                <w:p>
                  <w:pPr>
                    <w:pStyle w:val="104"/>
                    <w:adjustRightInd w:val="0"/>
                    <w:snapToGrid w:val="0"/>
                    <w:spacing w:line="240" w:lineRule="auto"/>
                    <w:rPr>
                      <w:b/>
                      <w:bCs/>
                      <w:sz w:val="21"/>
                      <w:szCs w:val="21"/>
                    </w:rPr>
                  </w:pPr>
                  <w:r>
                    <w:rPr>
                      <w:rFonts w:hint="eastAsia"/>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b/>
                      <w:bCs/>
                      <w:sz w:val="21"/>
                      <w:szCs w:val="21"/>
                    </w:rPr>
                  </w:pPr>
                </w:p>
              </w:tc>
              <w:tc>
                <w:tcPr>
                  <w:tcW w:w="1064" w:type="dxa"/>
                  <w:vMerge w:val="continue"/>
                  <w:vAlign w:val="center"/>
                </w:tcPr>
                <w:p>
                  <w:pPr>
                    <w:pStyle w:val="104"/>
                    <w:adjustRightInd w:val="0"/>
                    <w:snapToGrid w:val="0"/>
                    <w:spacing w:line="240" w:lineRule="auto"/>
                    <w:rPr>
                      <w:b/>
                      <w:bCs/>
                      <w:sz w:val="21"/>
                      <w:szCs w:val="21"/>
                    </w:rPr>
                  </w:pPr>
                </w:p>
              </w:tc>
              <w:tc>
                <w:tcPr>
                  <w:tcW w:w="736" w:type="dxa"/>
                  <w:vMerge w:val="restart"/>
                  <w:vAlign w:val="center"/>
                </w:tcPr>
                <w:p>
                  <w:pPr>
                    <w:pStyle w:val="104"/>
                    <w:adjustRightInd w:val="0"/>
                    <w:snapToGrid w:val="0"/>
                    <w:spacing w:line="240" w:lineRule="auto"/>
                    <w:rPr>
                      <w:b/>
                      <w:bCs/>
                      <w:sz w:val="21"/>
                      <w:szCs w:val="21"/>
                    </w:rPr>
                  </w:pPr>
                  <w:r>
                    <w:rPr>
                      <w:rFonts w:hint="eastAsia"/>
                      <w:b/>
                      <w:bCs/>
                      <w:sz w:val="21"/>
                      <w:szCs w:val="21"/>
                    </w:rPr>
                    <w:t>名称</w:t>
                  </w:r>
                </w:p>
              </w:tc>
              <w:tc>
                <w:tcPr>
                  <w:tcW w:w="1718" w:type="dxa"/>
                  <w:gridSpan w:val="2"/>
                  <w:vAlign w:val="center"/>
                </w:tcPr>
                <w:p>
                  <w:pPr>
                    <w:pStyle w:val="104"/>
                    <w:adjustRightInd w:val="0"/>
                    <w:snapToGrid w:val="0"/>
                    <w:spacing w:line="240" w:lineRule="auto"/>
                    <w:rPr>
                      <w:b/>
                      <w:bCs/>
                      <w:sz w:val="21"/>
                      <w:szCs w:val="21"/>
                    </w:rPr>
                  </w:pPr>
                  <w:r>
                    <w:rPr>
                      <w:rFonts w:hint="eastAsia"/>
                      <w:b/>
                      <w:bCs/>
                      <w:sz w:val="21"/>
                      <w:szCs w:val="21"/>
                    </w:rPr>
                    <w:t>地理位置</w:t>
                  </w:r>
                </w:p>
              </w:tc>
              <w:tc>
                <w:tcPr>
                  <w:tcW w:w="982" w:type="dxa"/>
                  <w:vMerge w:val="restart"/>
                  <w:vAlign w:val="center"/>
                </w:tcPr>
                <w:p>
                  <w:pPr>
                    <w:pStyle w:val="104"/>
                    <w:adjustRightInd w:val="0"/>
                    <w:snapToGrid w:val="0"/>
                    <w:spacing w:line="240" w:lineRule="auto"/>
                    <w:rPr>
                      <w:b/>
                      <w:bCs/>
                      <w:sz w:val="21"/>
                      <w:szCs w:val="21"/>
                    </w:rPr>
                  </w:pPr>
                  <w:r>
                    <w:rPr>
                      <w:rFonts w:hint="eastAsia"/>
                      <w:b/>
                      <w:bCs/>
                      <w:sz w:val="21"/>
                      <w:szCs w:val="21"/>
                    </w:rPr>
                    <w:t>规模</w:t>
                  </w:r>
                </w:p>
              </w:tc>
              <w:tc>
                <w:tcPr>
                  <w:tcW w:w="559" w:type="dxa"/>
                  <w:vMerge w:val="restart"/>
                  <w:vAlign w:val="center"/>
                </w:tcPr>
                <w:p>
                  <w:pPr>
                    <w:pStyle w:val="104"/>
                    <w:adjustRightInd w:val="0"/>
                    <w:snapToGrid w:val="0"/>
                    <w:spacing w:line="240" w:lineRule="auto"/>
                    <w:rPr>
                      <w:b/>
                      <w:bCs/>
                      <w:sz w:val="21"/>
                      <w:szCs w:val="21"/>
                    </w:rPr>
                  </w:pPr>
                  <w:r>
                    <w:rPr>
                      <w:b/>
                      <w:bCs/>
                      <w:sz w:val="21"/>
                      <w:szCs w:val="21"/>
                    </w:rPr>
                    <w:t>方位</w:t>
                  </w:r>
                </w:p>
              </w:tc>
              <w:tc>
                <w:tcPr>
                  <w:tcW w:w="900" w:type="dxa"/>
                  <w:vMerge w:val="restart"/>
                  <w:vAlign w:val="center"/>
                </w:tcPr>
                <w:p>
                  <w:pPr>
                    <w:pStyle w:val="104"/>
                    <w:adjustRightInd w:val="0"/>
                    <w:snapToGrid w:val="0"/>
                    <w:spacing w:line="240" w:lineRule="auto"/>
                    <w:rPr>
                      <w:b/>
                      <w:bCs/>
                      <w:sz w:val="21"/>
                      <w:szCs w:val="21"/>
                    </w:rPr>
                  </w:pPr>
                  <w:r>
                    <w:rPr>
                      <w:b/>
                      <w:bCs/>
                      <w:sz w:val="21"/>
                      <w:szCs w:val="21"/>
                    </w:rPr>
                    <w:t>距离</w:t>
                  </w:r>
                  <w:r>
                    <w:rPr>
                      <w:rFonts w:hint="eastAsia"/>
                      <w:b/>
                      <w:bCs/>
                      <w:sz w:val="21"/>
                      <w:szCs w:val="21"/>
                    </w:rPr>
                    <w:t>（m）</w:t>
                  </w:r>
                </w:p>
              </w:tc>
              <w:tc>
                <w:tcPr>
                  <w:tcW w:w="887" w:type="dxa"/>
                  <w:vMerge w:val="restart"/>
                  <w:vAlign w:val="center"/>
                </w:tcPr>
                <w:p>
                  <w:pPr>
                    <w:pStyle w:val="104"/>
                    <w:adjustRightInd w:val="0"/>
                    <w:snapToGrid w:val="0"/>
                    <w:spacing w:line="240" w:lineRule="auto"/>
                    <w:rPr>
                      <w:b/>
                      <w:bCs/>
                      <w:sz w:val="21"/>
                      <w:szCs w:val="21"/>
                    </w:rPr>
                  </w:pPr>
                  <w:r>
                    <w:rPr>
                      <w:rFonts w:hint="eastAsia"/>
                      <w:b/>
                      <w:bCs/>
                      <w:sz w:val="21"/>
                      <w:szCs w:val="21"/>
                    </w:rPr>
                    <w:t>功能</w:t>
                  </w:r>
                </w:p>
              </w:tc>
              <w:tc>
                <w:tcPr>
                  <w:tcW w:w="1294" w:type="dxa"/>
                  <w:vMerge w:val="continue"/>
                  <w:vAlign w:val="center"/>
                </w:tcPr>
                <w:p>
                  <w:pPr>
                    <w:pStyle w:val="104"/>
                    <w:adjustRightInd w:val="0"/>
                    <w:snapToGrid w:val="0"/>
                    <w:spacing w:line="240" w:lineRule="auto"/>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b/>
                      <w:bCs/>
                    </w:rPr>
                  </w:pPr>
                </w:p>
              </w:tc>
              <w:tc>
                <w:tcPr>
                  <w:tcW w:w="1064" w:type="dxa"/>
                  <w:vMerge w:val="continue"/>
                  <w:vAlign w:val="center"/>
                </w:tcPr>
                <w:p>
                  <w:pPr>
                    <w:pStyle w:val="104"/>
                    <w:adjustRightInd w:val="0"/>
                    <w:snapToGrid w:val="0"/>
                    <w:spacing w:line="240" w:lineRule="auto"/>
                    <w:rPr>
                      <w:b/>
                      <w:bCs/>
                    </w:rPr>
                  </w:pPr>
                </w:p>
              </w:tc>
              <w:tc>
                <w:tcPr>
                  <w:tcW w:w="736" w:type="dxa"/>
                  <w:vMerge w:val="continue"/>
                  <w:vAlign w:val="center"/>
                </w:tcPr>
                <w:p>
                  <w:pPr>
                    <w:pStyle w:val="104"/>
                    <w:adjustRightInd w:val="0"/>
                    <w:snapToGrid w:val="0"/>
                    <w:spacing w:line="240" w:lineRule="auto"/>
                    <w:rPr>
                      <w:b/>
                      <w:bCs/>
                    </w:rPr>
                  </w:pPr>
                </w:p>
              </w:tc>
              <w:tc>
                <w:tcPr>
                  <w:tcW w:w="886" w:type="dxa"/>
                  <w:vAlign w:val="center"/>
                </w:tcPr>
                <w:p>
                  <w:pPr>
                    <w:pStyle w:val="104"/>
                    <w:adjustRightInd w:val="0"/>
                    <w:snapToGrid w:val="0"/>
                    <w:spacing w:line="240" w:lineRule="auto"/>
                    <w:rPr>
                      <w:b/>
                      <w:bCs/>
                      <w:sz w:val="21"/>
                      <w:szCs w:val="21"/>
                    </w:rPr>
                  </w:pPr>
                  <w:r>
                    <w:rPr>
                      <w:rFonts w:hint="eastAsia"/>
                      <w:b/>
                      <w:bCs/>
                      <w:sz w:val="21"/>
                      <w:szCs w:val="21"/>
                    </w:rPr>
                    <w:t>经度</w:t>
                  </w:r>
                </w:p>
              </w:tc>
              <w:tc>
                <w:tcPr>
                  <w:tcW w:w="832" w:type="dxa"/>
                  <w:vAlign w:val="center"/>
                </w:tcPr>
                <w:p>
                  <w:pPr>
                    <w:pStyle w:val="104"/>
                    <w:adjustRightInd w:val="0"/>
                    <w:snapToGrid w:val="0"/>
                    <w:spacing w:line="240" w:lineRule="auto"/>
                    <w:rPr>
                      <w:b/>
                      <w:bCs/>
                      <w:sz w:val="21"/>
                      <w:szCs w:val="21"/>
                    </w:rPr>
                  </w:pPr>
                  <w:r>
                    <w:rPr>
                      <w:rFonts w:hint="eastAsia"/>
                      <w:b/>
                      <w:bCs/>
                      <w:sz w:val="21"/>
                      <w:szCs w:val="21"/>
                    </w:rPr>
                    <w:t>纬度</w:t>
                  </w:r>
                </w:p>
              </w:tc>
              <w:tc>
                <w:tcPr>
                  <w:tcW w:w="982" w:type="dxa"/>
                  <w:vMerge w:val="continue"/>
                  <w:vAlign w:val="center"/>
                </w:tcPr>
                <w:p>
                  <w:pPr>
                    <w:pStyle w:val="104"/>
                    <w:adjustRightInd w:val="0"/>
                    <w:snapToGrid w:val="0"/>
                    <w:spacing w:line="240" w:lineRule="auto"/>
                    <w:rPr>
                      <w:b/>
                      <w:bCs/>
                      <w:sz w:val="21"/>
                      <w:szCs w:val="21"/>
                    </w:rPr>
                  </w:pPr>
                </w:p>
              </w:tc>
              <w:tc>
                <w:tcPr>
                  <w:tcW w:w="559" w:type="dxa"/>
                  <w:vMerge w:val="continue"/>
                  <w:vAlign w:val="center"/>
                </w:tcPr>
                <w:p>
                  <w:pPr>
                    <w:pStyle w:val="104"/>
                    <w:adjustRightInd w:val="0"/>
                    <w:snapToGrid w:val="0"/>
                    <w:spacing w:line="240" w:lineRule="auto"/>
                    <w:rPr>
                      <w:b/>
                      <w:bCs/>
                      <w:sz w:val="21"/>
                      <w:szCs w:val="21"/>
                    </w:rPr>
                  </w:pPr>
                </w:p>
              </w:tc>
              <w:tc>
                <w:tcPr>
                  <w:tcW w:w="900" w:type="dxa"/>
                  <w:vMerge w:val="continue"/>
                  <w:vAlign w:val="center"/>
                </w:tcPr>
                <w:p>
                  <w:pPr>
                    <w:pStyle w:val="104"/>
                    <w:adjustRightInd w:val="0"/>
                    <w:snapToGrid w:val="0"/>
                    <w:spacing w:line="240" w:lineRule="auto"/>
                    <w:rPr>
                      <w:b/>
                      <w:bCs/>
                      <w:sz w:val="21"/>
                      <w:szCs w:val="21"/>
                    </w:rPr>
                  </w:pPr>
                </w:p>
              </w:tc>
              <w:tc>
                <w:tcPr>
                  <w:tcW w:w="887" w:type="dxa"/>
                  <w:vMerge w:val="continue"/>
                  <w:vAlign w:val="center"/>
                </w:tcPr>
                <w:p>
                  <w:pPr>
                    <w:pStyle w:val="104"/>
                    <w:adjustRightInd w:val="0"/>
                    <w:snapToGrid w:val="0"/>
                    <w:spacing w:line="240" w:lineRule="auto"/>
                    <w:rPr>
                      <w:b/>
                      <w:bCs/>
                    </w:rPr>
                  </w:pPr>
                </w:p>
              </w:tc>
              <w:tc>
                <w:tcPr>
                  <w:tcW w:w="1294" w:type="dxa"/>
                  <w:vMerge w:val="continue"/>
                  <w:vAlign w:val="center"/>
                </w:tcPr>
                <w:p>
                  <w:pPr>
                    <w:pStyle w:val="104"/>
                    <w:adjustRightInd w:val="0"/>
                    <w:snapToGrid w:val="0"/>
                    <w:spacing w:line="24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pStyle w:val="104"/>
                    <w:adjustRightInd w:val="0"/>
                    <w:snapToGrid w:val="0"/>
                    <w:spacing w:line="240" w:lineRule="auto"/>
                    <w:rPr>
                      <w:sz w:val="21"/>
                      <w:szCs w:val="21"/>
                    </w:rPr>
                  </w:pPr>
                  <w:r>
                    <w:rPr>
                      <w:sz w:val="21"/>
                      <w:szCs w:val="21"/>
                    </w:rPr>
                    <w:t>大气环境</w:t>
                  </w:r>
                </w:p>
              </w:tc>
              <w:tc>
                <w:tcPr>
                  <w:tcW w:w="1064" w:type="dxa"/>
                  <w:vAlign w:val="center"/>
                </w:tcPr>
                <w:p>
                  <w:pPr>
                    <w:pStyle w:val="104"/>
                    <w:adjustRightInd w:val="0"/>
                    <w:snapToGrid w:val="0"/>
                    <w:spacing w:line="240" w:lineRule="auto"/>
                    <w:rPr>
                      <w:sz w:val="21"/>
                      <w:szCs w:val="21"/>
                    </w:rPr>
                  </w:pPr>
                  <w:r>
                    <w:rPr>
                      <w:rFonts w:hint="eastAsia"/>
                      <w:sz w:val="21"/>
                      <w:szCs w:val="21"/>
                    </w:rPr>
                    <w:t>三营老厂CWT站</w:t>
                  </w:r>
                </w:p>
              </w:tc>
              <w:tc>
                <w:tcPr>
                  <w:tcW w:w="736" w:type="dxa"/>
                  <w:vAlign w:val="center"/>
                </w:tcPr>
                <w:p>
                  <w:pPr>
                    <w:pStyle w:val="104"/>
                    <w:adjustRightInd w:val="0"/>
                    <w:snapToGrid w:val="0"/>
                    <w:spacing w:line="240" w:lineRule="auto"/>
                    <w:rPr>
                      <w:sz w:val="21"/>
                      <w:szCs w:val="21"/>
                    </w:rPr>
                  </w:pPr>
                  <w:r>
                    <w:rPr>
                      <w:rFonts w:hint="eastAsia"/>
                      <w:sz w:val="21"/>
                      <w:szCs w:val="21"/>
                    </w:rPr>
                    <w:t>古撑村</w:t>
                  </w:r>
                </w:p>
              </w:tc>
              <w:tc>
                <w:tcPr>
                  <w:tcW w:w="886" w:type="dxa"/>
                  <w:vAlign w:val="center"/>
                </w:tcPr>
                <w:p>
                  <w:pPr>
                    <w:pStyle w:val="104"/>
                    <w:adjustRightInd w:val="0"/>
                    <w:snapToGrid w:val="0"/>
                    <w:spacing w:line="240" w:lineRule="auto"/>
                    <w:rPr>
                      <w:sz w:val="21"/>
                      <w:szCs w:val="21"/>
                    </w:rPr>
                  </w:pPr>
                  <w:r>
                    <w:rPr>
                      <w:rFonts w:hint="eastAsia"/>
                      <w:sz w:val="21"/>
                      <w:szCs w:val="21"/>
                    </w:rPr>
                    <w:t>99.992628</w:t>
                  </w:r>
                </w:p>
              </w:tc>
              <w:tc>
                <w:tcPr>
                  <w:tcW w:w="832" w:type="dxa"/>
                  <w:vAlign w:val="center"/>
                </w:tcPr>
                <w:p>
                  <w:pPr>
                    <w:pStyle w:val="104"/>
                    <w:adjustRightInd w:val="0"/>
                    <w:snapToGrid w:val="0"/>
                    <w:spacing w:line="240" w:lineRule="auto"/>
                    <w:rPr>
                      <w:sz w:val="21"/>
                      <w:szCs w:val="21"/>
                    </w:rPr>
                  </w:pPr>
                  <w:r>
                    <w:rPr>
                      <w:rFonts w:hint="eastAsia"/>
                      <w:sz w:val="21"/>
                      <w:szCs w:val="21"/>
                    </w:rPr>
                    <w:t>26.218603</w:t>
                  </w:r>
                </w:p>
              </w:tc>
              <w:tc>
                <w:tcPr>
                  <w:tcW w:w="982" w:type="dxa"/>
                  <w:vAlign w:val="center"/>
                </w:tcPr>
                <w:p>
                  <w:pPr>
                    <w:pStyle w:val="104"/>
                    <w:adjustRightInd w:val="0"/>
                    <w:snapToGrid w:val="0"/>
                    <w:spacing w:line="240" w:lineRule="auto"/>
                    <w:rPr>
                      <w:sz w:val="21"/>
                      <w:szCs w:val="21"/>
                    </w:rPr>
                  </w:pPr>
                  <w:r>
                    <w:rPr>
                      <w:rFonts w:hint="eastAsia"/>
                      <w:sz w:val="21"/>
                      <w:szCs w:val="21"/>
                    </w:rPr>
                    <w:t>15户，45人</w:t>
                  </w:r>
                </w:p>
              </w:tc>
              <w:tc>
                <w:tcPr>
                  <w:tcW w:w="559" w:type="dxa"/>
                  <w:vAlign w:val="center"/>
                </w:tcPr>
                <w:p>
                  <w:pPr>
                    <w:pStyle w:val="104"/>
                    <w:adjustRightInd w:val="0"/>
                    <w:snapToGrid w:val="0"/>
                    <w:spacing w:line="240" w:lineRule="auto"/>
                    <w:rPr>
                      <w:sz w:val="21"/>
                      <w:szCs w:val="21"/>
                    </w:rPr>
                  </w:pPr>
                  <w:r>
                    <w:rPr>
                      <w:rFonts w:hint="eastAsia"/>
                      <w:sz w:val="21"/>
                      <w:szCs w:val="21"/>
                    </w:rPr>
                    <w:t>西北</w:t>
                  </w:r>
                </w:p>
              </w:tc>
              <w:tc>
                <w:tcPr>
                  <w:tcW w:w="900" w:type="dxa"/>
                  <w:vAlign w:val="center"/>
                </w:tcPr>
                <w:p>
                  <w:pPr>
                    <w:pStyle w:val="104"/>
                    <w:adjustRightInd w:val="0"/>
                    <w:snapToGrid w:val="0"/>
                    <w:spacing w:line="240" w:lineRule="auto"/>
                    <w:rPr>
                      <w:sz w:val="21"/>
                      <w:szCs w:val="21"/>
                    </w:rPr>
                  </w:pPr>
                  <w:r>
                    <w:rPr>
                      <w:rFonts w:hint="eastAsia"/>
                      <w:sz w:val="21"/>
                      <w:szCs w:val="21"/>
                    </w:rPr>
                    <w:t>约300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restart"/>
                  <w:vAlign w:val="center"/>
                </w:tcPr>
                <w:p>
                  <w:pPr>
                    <w:pStyle w:val="104"/>
                    <w:adjustRightInd w:val="0"/>
                    <w:snapToGrid w:val="0"/>
                    <w:spacing w:line="240" w:lineRule="auto"/>
                    <w:rPr>
                      <w:sz w:val="21"/>
                      <w:szCs w:val="21"/>
                    </w:rPr>
                  </w:pPr>
                  <w:r>
                    <w:rPr>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大涧村</w:t>
                  </w:r>
                  <w:r>
                    <w:rPr>
                      <w:rFonts w:hint="eastAsia"/>
                      <w:sz w:val="21"/>
                      <w:szCs w:val="21"/>
                    </w:rPr>
                    <w:t>CWT站</w:t>
                  </w:r>
                </w:p>
              </w:tc>
              <w:tc>
                <w:tcPr>
                  <w:tcW w:w="736" w:type="dxa"/>
                  <w:vAlign w:val="center"/>
                </w:tcPr>
                <w:p>
                  <w:pPr>
                    <w:pStyle w:val="104"/>
                    <w:adjustRightInd w:val="0"/>
                    <w:snapToGrid w:val="0"/>
                    <w:spacing w:line="240" w:lineRule="auto"/>
                    <w:rPr>
                      <w:sz w:val="21"/>
                      <w:szCs w:val="21"/>
                    </w:rPr>
                  </w:pPr>
                  <w:r>
                    <w:rPr>
                      <w:color w:val="FF0000"/>
                      <w:sz w:val="21"/>
                      <w:szCs w:val="21"/>
                    </w:rPr>
                    <w:t>大涧村</w:t>
                  </w:r>
                </w:p>
              </w:tc>
              <w:tc>
                <w:tcPr>
                  <w:tcW w:w="886" w:type="dxa"/>
                  <w:vAlign w:val="center"/>
                </w:tcPr>
                <w:p>
                  <w:pPr>
                    <w:pStyle w:val="104"/>
                    <w:adjustRightInd w:val="0"/>
                    <w:snapToGrid w:val="0"/>
                    <w:spacing w:line="240" w:lineRule="auto"/>
                    <w:rPr>
                      <w:sz w:val="21"/>
                      <w:szCs w:val="21"/>
                    </w:rPr>
                  </w:pPr>
                  <w:r>
                    <w:rPr>
                      <w:rFonts w:hint="eastAsia"/>
                      <w:sz w:val="21"/>
                      <w:szCs w:val="21"/>
                    </w:rPr>
                    <w:t>99.940319</w:t>
                  </w:r>
                </w:p>
              </w:tc>
              <w:tc>
                <w:tcPr>
                  <w:tcW w:w="832" w:type="dxa"/>
                  <w:vAlign w:val="center"/>
                </w:tcPr>
                <w:p>
                  <w:pPr>
                    <w:pStyle w:val="104"/>
                    <w:adjustRightInd w:val="0"/>
                    <w:snapToGrid w:val="0"/>
                    <w:spacing w:line="240" w:lineRule="auto"/>
                    <w:rPr>
                      <w:sz w:val="21"/>
                      <w:szCs w:val="21"/>
                    </w:rPr>
                  </w:pPr>
                  <w:r>
                    <w:rPr>
                      <w:rFonts w:hint="eastAsia"/>
                      <w:sz w:val="21"/>
                      <w:szCs w:val="21"/>
                    </w:rPr>
                    <w:t>25.939674</w:t>
                  </w:r>
                </w:p>
              </w:tc>
              <w:tc>
                <w:tcPr>
                  <w:tcW w:w="982" w:type="dxa"/>
                  <w:vAlign w:val="center"/>
                </w:tcPr>
                <w:p>
                  <w:pPr>
                    <w:pStyle w:val="104"/>
                    <w:adjustRightInd w:val="0"/>
                    <w:snapToGrid w:val="0"/>
                    <w:spacing w:line="240" w:lineRule="auto"/>
                    <w:rPr>
                      <w:sz w:val="21"/>
                      <w:szCs w:val="21"/>
                    </w:rPr>
                  </w:pPr>
                  <w:r>
                    <w:rPr>
                      <w:rFonts w:hint="eastAsia"/>
                      <w:sz w:val="21"/>
                      <w:szCs w:val="21"/>
                    </w:rPr>
                    <w:t>12户，36人</w:t>
                  </w:r>
                </w:p>
              </w:tc>
              <w:tc>
                <w:tcPr>
                  <w:tcW w:w="559" w:type="dxa"/>
                  <w:vAlign w:val="center"/>
                </w:tcPr>
                <w:p>
                  <w:pPr>
                    <w:pStyle w:val="104"/>
                    <w:adjustRightInd w:val="0"/>
                    <w:snapToGrid w:val="0"/>
                    <w:spacing w:line="240" w:lineRule="auto"/>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约246</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雪梨村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雪梨村</w:t>
                  </w:r>
                </w:p>
              </w:tc>
              <w:tc>
                <w:tcPr>
                  <w:tcW w:w="886" w:type="dxa"/>
                  <w:vAlign w:val="center"/>
                </w:tcPr>
                <w:p>
                  <w:pPr>
                    <w:pStyle w:val="104"/>
                    <w:adjustRightInd w:val="0"/>
                    <w:snapToGrid w:val="0"/>
                    <w:spacing w:line="240" w:lineRule="auto"/>
                    <w:rPr>
                      <w:sz w:val="21"/>
                      <w:szCs w:val="21"/>
                    </w:rPr>
                  </w:pPr>
                  <w:r>
                    <w:rPr>
                      <w:rFonts w:hint="eastAsia"/>
                      <w:sz w:val="21"/>
                      <w:szCs w:val="21"/>
                    </w:rPr>
                    <w:t>99.948702</w:t>
                  </w:r>
                </w:p>
              </w:tc>
              <w:tc>
                <w:tcPr>
                  <w:tcW w:w="832" w:type="dxa"/>
                  <w:vAlign w:val="center"/>
                </w:tcPr>
                <w:p>
                  <w:pPr>
                    <w:pStyle w:val="104"/>
                    <w:adjustRightInd w:val="0"/>
                    <w:snapToGrid w:val="0"/>
                    <w:spacing w:line="240" w:lineRule="auto"/>
                    <w:rPr>
                      <w:sz w:val="21"/>
                      <w:szCs w:val="21"/>
                    </w:rPr>
                  </w:pPr>
                  <w:r>
                    <w:rPr>
                      <w:rFonts w:hint="eastAsia"/>
                      <w:sz w:val="21"/>
                      <w:szCs w:val="21"/>
                    </w:rPr>
                    <w:t>26.027254</w:t>
                  </w:r>
                </w:p>
              </w:tc>
              <w:tc>
                <w:tcPr>
                  <w:tcW w:w="982" w:type="dxa"/>
                  <w:vAlign w:val="center"/>
                </w:tcPr>
                <w:p>
                  <w:pPr>
                    <w:pStyle w:val="104"/>
                    <w:adjustRightInd w:val="0"/>
                    <w:snapToGrid w:val="0"/>
                    <w:spacing w:line="240" w:lineRule="auto"/>
                    <w:rPr>
                      <w:sz w:val="21"/>
                      <w:szCs w:val="21"/>
                    </w:rPr>
                  </w:pPr>
                  <w:r>
                    <w:rPr>
                      <w:rFonts w:hint="eastAsia"/>
                      <w:sz w:val="21"/>
                      <w:szCs w:val="21"/>
                    </w:rPr>
                    <w:t>120户，360人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约60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草甲村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草甲村</w:t>
                  </w:r>
                </w:p>
              </w:tc>
              <w:tc>
                <w:tcPr>
                  <w:tcW w:w="886" w:type="dxa"/>
                  <w:vAlign w:val="center"/>
                </w:tcPr>
                <w:p>
                  <w:pPr>
                    <w:pStyle w:val="104"/>
                    <w:adjustRightInd w:val="0"/>
                    <w:snapToGrid w:val="0"/>
                    <w:spacing w:line="240" w:lineRule="auto"/>
                    <w:rPr>
                      <w:sz w:val="21"/>
                      <w:szCs w:val="21"/>
                    </w:rPr>
                  </w:pPr>
                  <w:r>
                    <w:rPr>
                      <w:rFonts w:hint="eastAsia"/>
                      <w:sz w:val="21"/>
                      <w:szCs w:val="21"/>
                    </w:rPr>
                    <w:t>99.962240</w:t>
                  </w:r>
                </w:p>
              </w:tc>
              <w:tc>
                <w:tcPr>
                  <w:tcW w:w="832" w:type="dxa"/>
                  <w:vAlign w:val="center"/>
                </w:tcPr>
                <w:p>
                  <w:pPr>
                    <w:pStyle w:val="104"/>
                    <w:adjustRightInd w:val="0"/>
                    <w:snapToGrid w:val="0"/>
                    <w:spacing w:line="240" w:lineRule="auto"/>
                    <w:rPr>
                      <w:sz w:val="21"/>
                      <w:szCs w:val="21"/>
                    </w:rPr>
                  </w:pPr>
                  <w:r>
                    <w:rPr>
                      <w:rFonts w:hint="eastAsia"/>
                      <w:sz w:val="21"/>
                      <w:szCs w:val="21"/>
                    </w:rPr>
                    <w:t>25.976609</w:t>
                  </w:r>
                </w:p>
              </w:tc>
              <w:tc>
                <w:tcPr>
                  <w:tcW w:w="982" w:type="dxa"/>
                  <w:vAlign w:val="center"/>
                </w:tcPr>
                <w:p>
                  <w:pPr>
                    <w:pStyle w:val="104"/>
                    <w:adjustRightInd w:val="0"/>
                    <w:snapToGrid w:val="0"/>
                    <w:spacing w:line="240" w:lineRule="auto"/>
                    <w:rPr>
                      <w:sz w:val="21"/>
                      <w:szCs w:val="21"/>
                    </w:rPr>
                  </w:pPr>
                  <w:r>
                    <w:rPr>
                      <w:rFonts w:hint="eastAsia"/>
                      <w:sz w:val="21"/>
                      <w:szCs w:val="21"/>
                    </w:rPr>
                    <w:t>40户，120人</w:t>
                  </w:r>
                </w:p>
              </w:tc>
              <w:tc>
                <w:tcPr>
                  <w:tcW w:w="559" w:type="dxa"/>
                  <w:vAlign w:val="center"/>
                </w:tcPr>
                <w:p>
                  <w:pPr>
                    <w:pStyle w:val="104"/>
                    <w:adjustRightInd w:val="0"/>
                    <w:snapToGrid w:val="0"/>
                    <w:spacing w:line="240" w:lineRule="auto"/>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约120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下山口</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rFonts w:hint="eastAsia"/>
                      <w:sz w:val="21"/>
                      <w:szCs w:val="21"/>
                    </w:rPr>
                    <w:t>下山口</w:t>
                  </w:r>
                </w:p>
              </w:tc>
              <w:tc>
                <w:tcPr>
                  <w:tcW w:w="886" w:type="dxa"/>
                  <w:vAlign w:val="center"/>
                </w:tcPr>
                <w:p>
                  <w:pPr>
                    <w:pStyle w:val="104"/>
                    <w:adjustRightInd w:val="0"/>
                    <w:snapToGrid w:val="0"/>
                    <w:spacing w:line="240" w:lineRule="auto"/>
                    <w:rPr>
                      <w:sz w:val="21"/>
                      <w:szCs w:val="21"/>
                    </w:rPr>
                  </w:pPr>
                  <w:r>
                    <w:rPr>
                      <w:rFonts w:hint="eastAsia"/>
                      <w:sz w:val="21"/>
                      <w:szCs w:val="21"/>
                    </w:rPr>
                    <w:t>100.032116</w:t>
                  </w:r>
                </w:p>
              </w:tc>
              <w:tc>
                <w:tcPr>
                  <w:tcW w:w="832" w:type="dxa"/>
                  <w:vAlign w:val="center"/>
                </w:tcPr>
                <w:p>
                  <w:pPr>
                    <w:pStyle w:val="104"/>
                    <w:adjustRightInd w:val="0"/>
                    <w:snapToGrid w:val="0"/>
                    <w:spacing w:line="240" w:lineRule="auto"/>
                    <w:rPr>
                      <w:sz w:val="21"/>
                      <w:szCs w:val="21"/>
                    </w:rPr>
                  </w:pPr>
                  <w:r>
                    <w:rPr>
                      <w:rFonts w:hint="eastAsia"/>
                      <w:sz w:val="21"/>
                      <w:szCs w:val="21"/>
                    </w:rPr>
                    <w:t>26.079563</w:t>
                  </w:r>
                </w:p>
              </w:tc>
              <w:tc>
                <w:tcPr>
                  <w:tcW w:w="982" w:type="dxa"/>
                  <w:vAlign w:val="center"/>
                </w:tcPr>
                <w:p>
                  <w:pPr>
                    <w:pStyle w:val="104"/>
                    <w:adjustRightInd w:val="0"/>
                    <w:snapToGrid w:val="0"/>
                    <w:spacing w:line="240" w:lineRule="auto"/>
                    <w:rPr>
                      <w:sz w:val="21"/>
                      <w:szCs w:val="21"/>
                    </w:rPr>
                  </w:pPr>
                  <w:r>
                    <w:rPr>
                      <w:rFonts w:hint="eastAsia"/>
                      <w:sz w:val="21"/>
                      <w:szCs w:val="21"/>
                    </w:rPr>
                    <w:t>25户，75人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约180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pStyle w:val="104"/>
                    <w:adjustRightInd w:val="0"/>
                    <w:snapToGrid w:val="0"/>
                    <w:spacing w:line="240" w:lineRule="auto"/>
                    <w:rPr>
                      <w:sz w:val="21"/>
                      <w:szCs w:val="21"/>
                    </w:rPr>
                  </w:pPr>
                  <w:r>
                    <w:rPr>
                      <w:rFonts w:hint="eastAsia"/>
                      <w:sz w:val="21"/>
                      <w:szCs w:val="21"/>
                    </w:rPr>
                    <w:t>声环境</w:t>
                  </w:r>
                </w:p>
              </w:tc>
              <w:tc>
                <w:tcPr>
                  <w:tcW w:w="1064" w:type="dxa"/>
                  <w:vAlign w:val="center"/>
                </w:tcPr>
                <w:p>
                  <w:pPr>
                    <w:pStyle w:val="104"/>
                    <w:adjustRightInd w:val="0"/>
                    <w:snapToGrid w:val="0"/>
                    <w:spacing w:line="240" w:lineRule="auto"/>
                    <w:rPr>
                      <w:sz w:val="21"/>
                      <w:szCs w:val="21"/>
                    </w:rPr>
                  </w:pPr>
                  <w:r>
                    <w:rPr>
                      <w:color w:val="FF0000"/>
                      <w:sz w:val="21"/>
                      <w:szCs w:val="21"/>
                    </w:rPr>
                    <w:t>雪梨村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雪梨村</w:t>
                  </w:r>
                </w:p>
              </w:tc>
              <w:tc>
                <w:tcPr>
                  <w:tcW w:w="886" w:type="dxa"/>
                  <w:vAlign w:val="center"/>
                </w:tcPr>
                <w:p>
                  <w:pPr>
                    <w:pStyle w:val="104"/>
                    <w:adjustRightInd w:val="0"/>
                    <w:snapToGrid w:val="0"/>
                    <w:spacing w:line="240" w:lineRule="auto"/>
                    <w:rPr>
                      <w:sz w:val="21"/>
                      <w:szCs w:val="21"/>
                    </w:rPr>
                  </w:pPr>
                  <w:r>
                    <w:rPr>
                      <w:rFonts w:hint="eastAsia"/>
                      <w:sz w:val="21"/>
                      <w:szCs w:val="21"/>
                    </w:rPr>
                    <w:t>99.948702</w:t>
                  </w:r>
                </w:p>
              </w:tc>
              <w:tc>
                <w:tcPr>
                  <w:tcW w:w="832" w:type="dxa"/>
                  <w:vAlign w:val="center"/>
                </w:tcPr>
                <w:p>
                  <w:pPr>
                    <w:pStyle w:val="104"/>
                    <w:adjustRightInd w:val="0"/>
                    <w:snapToGrid w:val="0"/>
                    <w:spacing w:line="240" w:lineRule="auto"/>
                    <w:rPr>
                      <w:sz w:val="21"/>
                      <w:szCs w:val="21"/>
                    </w:rPr>
                  </w:pPr>
                  <w:r>
                    <w:rPr>
                      <w:rFonts w:hint="eastAsia"/>
                      <w:sz w:val="21"/>
                      <w:szCs w:val="21"/>
                    </w:rPr>
                    <w:t>26.027254</w:t>
                  </w:r>
                </w:p>
              </w:tc>
              <w:tc>
                <w:tcPr>
                  <w:tcW w:w="982" w:type="dxa"/>
                  <w:vAlign w:val="center"/>
                </w:tcPr>
                <w:p>
                  <w:pPr>
                    <w:pStyle w:val="104"/>
                    <w:adjustRightInd w:val="0"/>
                    <w:snapToGrid w:val="0"/>
                    <w:spacing w:line="240" w:lineRule="auto"/>
                    <w:rPr>
                      <w:sz w:val="21"/>
                      <w:szCs w:val="21"/>
                    </w:rPr>
                  </w:pPr>
                  <w:r>
                    <w:rPr>
                      <w:rFonts w:hint="eastAsia"/>
                      <w:sz w:val="21"/>
                      <w:szCs w:val="21"/>
                    </w:rPr>
                    <w:t>120户，360人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约60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restart"/>
                  <w:vAlign w:val="center"/>
                </w:tcPr>
                <w:p>
                  <w:pPr>
                    <w:pStyle w:val="104"/>
                    <w:adjustRightInd w:val="0"/>
                    <w:snapToGrid w:val="0"/>
                    <w:spacing w:line="240" w:lineRule="auto"/>
                    <w:rPr>
                      <w:sz w:val="21"/>
                      <w:szCs w:val="21"/>
                    </w:rPr>
                  </w:pPr>
                  <w:r>
                    <w:rPr>
                      <w:sz w:val="21"/>
                      <w:szCs w:val="21"/>
                    </w:rPr>
                    <w:t>《声环境质量标准》（GB3096</w:t>
                  </w:r>
                  <w:r>
                    <w:rPr>
                      <w:rFonts w:hint="eastAsia"/>
                      <w:sz w:val="21"/>
                      <w:szCs w:val="21"/>
                    </w:rPr>
                    <w:t>-</w:t>
                  </w:r>
                  <w:r>
                    <w:rPr>
                      <w:sz w:val="21"/>
                      <w:szCs w:val="21"/>
                    </w:rPr>
                    <w:t>2008）</w:t>
                  </w:r>
                  <w:r>
                    <w:rPr>
                      <w:rFonts w:hint="eastAsia"/>
                      <w:sz w:val="21"/>
                      <w:szCs w:val="21"/>
                    </w:rPr>
                    <w:t>2</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草甲村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草甲村</w:t>
                  </w:r>
                </w:p>
              </w:tc>
              <w:tc>
                <w:tcPr>
                  <w:tcW w:w="886" w:type="dxa"/>
                  <w:vAlign w:val="center"/>
                </w:tcPr>
                <w:p>
                  <w:pPr>
                    <w:pStyle w:val="104"/>
                    <w:adjustRightInd w:val="0"/>
                    <w:snapToGrid w:val="0"/>
                    <w:spacing w:line="240" w:lineRule="auto"/>
                    <w:rPr>
                      <w:sz w:val="21"/>
                      <w:szCs w:val="21"/>
                    </w:rPr>
                  </w:pPr>
                  <w:r>
                    <w:rPr>
                      <w:rFonts w:hint="eastAsia"/>
                      <w:sz w:val="21"/>
                      <w:szCs w:val="21"/>
                    </w:rPr>
                    <w:t>99.962240</w:t>
                  </w:r>
                </w:p>
              </w:tc>
              <w:tc>
                <w:tcPr>
                  <w:tcW w:w="832" w:type="dxa"/>
                  <w:vAlign w:val="center"/>
                </w:tcPr>
                <w:p>
                  <w:pPr>
                    <w:pStyle w:val="104"/>
                    <w:adjustRightInd w:val="0"/>
                    <w:snapToGrid w:val="0"/>
                    <w:spacing w:line="240" w:lineRule="auto"/>
                    <w:rPr>
                      <w:sz w:val="21"/>
                      <w:szCs w:val="21"/>
                    </w:rPr>
                  </w:pPr>
                  <w:r>
                    <w:rPr>
                      <w:rFonts w:hint="eastAsia"/>
                      <w:sz w:val="21"/>
                      <w:szCs w:val="21"/>
                    </w:rPr>
                    <w:t>25.976609</w:t>
                  </w:r>
                </w:p>
              </w:tc>
              <w:tc>
                <w:tcPr>
                  <w:tcW w:w="982" w:type="dxa"/>
                  <w:vAlign w:val="center"/>
                </w:tcPr>
                <w:p>
                  <w:pPr>
                    <w:pStyle w:val="104"/>
                    <w:adjustRightInd w:val="0"/>
                    <w:snapToGrid w:val="0"/>
                    <w:spacing w:line="240" w:lineRule="auto"/>
                    <w:rPr>
                      <w:sz w:val="21"/>
                      <w:szCs w:val="21"/>
                    </w:rPr>
                  </w:pPr>
                  <w:r>
                    <w:rPr>
                      <w:rFonts w:hint="eastAsia"/>
                      <w:sz w:val="21"/>
                      <w:szCs w:val="21"/>
                    </w:rPr>
                    <w:t>40户，120人</w:t>
                  </w:r>
                </w:p>
              </w:tc>
              <w:tc>
                <w:tcPr>
                  <w:tcW w:w="559" w:type="dxa"/>
                  <w:vAlign w:val="center"/>
                </w:tcPr>
                <w:p>
                  <w:pPr>
                    <w:pStyle w:val="104"/>
                    <w:adjustRightInd w:val="0"/>
                    <w:snapToGrid w:val="0"/>
                    <w:spacing w:line="240" w:lineRule="auto"/>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约120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下山口</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rFonts w:hint="eastAsia"/>
                      <w:sz w:val="21"/>
                      <w:szCs w:val="21"/>
                    </w:rPr>
                    <w:t>下山口</w:t>
                  </w:r>
                </w:p>
              </w:tc>
              <w:tc>
                <w:tcPr>
                  <w:tcW w:w="886" w:type="dxa"/>
                  <w:vAlign w:val="center"/>
                </w:tcPr>
                <w:p>
                  <w:pPr>
                    <w:pStyle w:val="104"/>
                    <w:adjustRightInd w:val="0"/>
                    <w:snapToGrid w:val="0"/>
                    <w:spacing w:line="240" w:lineRule="auto"/>
                    <w:rPr>
                      <w:sz w:val="21"/>
                      <w:szCs w:val="21"/>
                    </w:rPr>
                  </w:pPr>
                  <w:r>
                    <w:rPr>
                      <w:rFonts w:hint="eastAsia"/>
                      <w:sz w:val="21"/>
                      <w:szCs w:val="21"/>
                    </w:rPr>
                    <w:t>100.032116</w:t>
                  </w:r>
                </w:p>
              </w:tc>
              <w:tc>
                <w:tcPr>
                  <w:tcW w:w="832" w:type="dxa"/>
                  <w:vAlign w:val="center"/>
                </w:tcPr>
                <w:p>
                  <w:pPr>
                    <w:pStyle w:val="104"/>
                    <w:adjustRightInd w:val="0"/>
                    <w:snapToGrid w:val="0"/>
                    <w:spacing w:line="240" w:lineRule="auto"/>
                    <w:rPr>
                      <w:sz w:val="21"/>
                      <w:szCs w:val="21"/>
                    </w:rPr>
                  </w:pPr>
                  <w:r>
                    <w:rPr>
                      <w:rFonts w:hint="eastAsia"/>
                      <w:sz w:val="21"/>
                      <w:szCs w:val="21"/>
                    </w:rPr>
                    <w:t>26.079563</w:t>
                  </w:r>
                </w:p>
              </w:tc>
              <w:tc>
                <w:tcPr>
                  <w:tcW w:w="982" w:type="dxa"/>
                  <w:vAlign w:val="center"/>
                </w:tcPr>
                <w:p>
                  <w:pPr>
                    <w:pStyle w:val="104"/>
                    <w:adjustRightInd w:val="0"/>
                    <w:snapToGrid w:val="0"/>
                    <w:spacing w:line="240" w:lineRule="auto"/>
                    <w:rPr>
                      <w:sz w:val="21"/>
                      <w:szCs w:val="21"/>
                    </w:rPr>
                  </w:pPr>
                  <w:r>
                    <w:rPr>
                      <w:rFonts w:hint="eastAsia"/>
                      <w:sz w:val="21"/>
                      <w:szCs w:val="21"/>
                    </w:rPr>
                    <w:t>25户，75人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约180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pStyle w:val="104"/>
                    <w:adjustRightInd w:val="0"/>
                    <w:snapToGrid w:val="0"/>
                    <w:spacing w:line="240" w:lineRule="auto"/>
                    <w:rPr>
                      <w:sz w:val="21"/>
                      <w:szCs w:val="21"/>
                    </w:rPr>
                  </w:pPr>
                  <w:r>
                    <w:rPr>
                      <w:sz w:val="21"/>
                      <w:szCs w:val="21"/>
                    </w:rPr>
                    <w:t>地表水</w:t>
                  </w:r>
                </w:p>
              </w:tc>
              <w:tc>
                <w:tcPr>
                  <w:tcW w:w="1064" w:type="dxa"/>
                  <w:vAlign w:val="center"/>
                </w:tcPr>
                <w:p>
                  <w:pPr>
                    <w:pStyle w:val="104"/>
                    <w:adjustRightInd w:val="0"/>
                    <w:snapToGrid w:val="0"/>
                    <w:spacing w:line="240" w:lineRule="auto"/>
                    <w:rPr>
                      <w:sz w:val="21"/>
                      <w:szCs w:val="21"/>
                    </w:rPr>
                  </w:pPr>
                  <w:r>
                    <w:rPr>
                      <w:rFonts w:hint="eastAsia"/>
                      <w:sz w:val="21"/>
                      <w:szCs w:val="21"/>
                    </w:rPr>
                    <w:t>三营老厂CWT站</w:t>
                  </w:r>
                </w:p>
              </w:tc>
              <w:tc>
                <w:tcPr>
                  <w:tcW w:w="736" w:type="dxa"/>
                  <w:vAlign w:val="center"/>
                </w:tcPr>
                <w:p>
                  <w:pPr>
                    <w:pStyle w:val="104"/>
                    <w:adjustRightInd w:val="0"/>
                    <w:snapToGrid w:val="0"/>
                    <w:spacing w:line="240" w:lineRule="auto"/>
                    <w:rPr>
                      <w:sz w:val="21"/>
                      <w:szCs w:val="21"/>
                    </w:rPr>
                  </w:pPr>
                  <w:r>
                    <w:rPr>
                      <w:rFonts w:hint="eastAsia"/>
                      <w:sz w:val="21"/>
                      <w:szCs w:val="21"/>
                    </w:rPr>
                    <w:t>三营河</w:t>
                  </w:r>
                </w:p>
              </w:tc>
              <w:tc>
                <w:tcPr>
                  <w:tcW w:w="886" w:type="dxa"/>
                  <w:vAlign w:val="center"/>
                </w:tcPr>
                <w:p>
                  <w:pPr>
                    <w:pStyle w:val="104"/>
                    <w:adjustRightInd w:val="0"/>
                    <w:snapToGrid w:val="0"/>
                    <w:spacing w:line="240" w:lineRule="auto"/>
                    <w:rPr>
                      <w:sz w:val="21"/>
                      <w:szCs w:val="21"/>
                    </w:rPr>
                  </w:pPr>
                  <w:r>
                    <w:rPr>
                      <w:rFonts w:hint="eastAsia"/>
                      <w:sz w:val="21"/>
                      <w:szCs w:val="21"/>
                    </w:rPr>
                    <w:t>99.992861</w:t>
                  </w:r>
                </w:p>
              </w:tc>
              <w:tc>
                <w:tcPr>
                  <w:tcW w:w="832" w:type="dxa"/>
                  <w:vAlign w:val="center"/>
                </w:tcPr>
                <w:p>
                  <w:pPr>
                    <w:pStyle w:val="104"/>
                    <w:adjustRightInd w:val="0"/>
                    <w:snapToGrid w:val="0"/>
                    <w:spacing w:line="240" w:lineRule="auto"/>
                    <w:rPr>
                      <w:sz w:val="21"/>
                      <w:szCs w:val="21"/>
                      <w:lang w:bidi="en-US"/>
                    </w:rPr>
                  </w:pPr>
                  <w:r>
                    <w:rPr>
                      <w:rFonts w:hint="eastAsia"/>
                      <w:sz w:val="21"/>
                      <w:szCs w:val="21"/>
                      <w:lang w:bidi="en-US"/>
                    </w:rPr>
                    <w:t>26.218257</w:t>
                  </w:r>
                </w:p>
              </w:tc>
              <w:tc>
                <w:tcPr>
                  <w:tcW w:w="982" w:type="dxa"/>
                  <w:vAlign w:val="center"/>
                </w:tcPr>
                <w:p>
                  <w:pPr>
                    <w:pStyle w:val="104"/>
                    <w:adjustRightInd w:val="0"/>
                    <w:snapToGrid w:val="0"/>
                    <w:spacing w:line="240" w:lineRule="auto"/>
                    <w:rPr>
                      <w:sz w:val="21"/>
                      <w:szCs w:val="21"/>
                    </w:rPr>
                  </w:pPr>
                  <w:r>
                    <w:rPr>
                      <w:rFonts w:hint="eastAsia"/>
                      <w:sz w:val="21"/>
                      <w:szCs w:val="21"/>
                    </w:rPr>
                    <w:t>/</w:t>
                  </w:r>
                </w:p>
              </w:tc>
              <w:tc>
                <w:tcPr>
                  <w:tcW w:w="559"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约40</w:t>
                  </w:r>
                </w:p>
              </w:tc>
              <w:tc>
                <w:tcPr>
                  <w:tcW w:w="887" w:type="dxa"/>
                  <w:vAlign w:val="center"/>
                </w:tcPr>
                <w:p>
                  <w:pPr>
                    <w:pStyle w:val="104"/>
                    <w:adjustRightInd w:val="0"/>
                    <w:snapToGrid w:val="0"/>
                    <w:spacing w:line="240" w:lineRule="auto"/>
                    <w:rPr>
                      <w:sz w:val="21"/>
                      <w:szCs w:val="21"/>
                    </w:rPr>
                  </w:pPr>
                  <w:r>
                    <w:rPr>
                      <w:rFonts w:hint="eastAsia"/>
                      <w:sz w:val="21"/>
                      <w:szCs w:val="21"/>
                    </w:rPr>
                    <w:t>/</w:t>
                  </w:r>
                </w:p>
              </w:tc>
              <w:tc>
                <w:tcPr>
                  <w:tcW w:w="1294" w:type="dxa"/>
                  <w:vMerge w:val="restart"/>
                  <w:vAlign w:val="center"/>
                </w:tcPr>
                <w:p>
                  <w:pPr>
                    <w:pStyle w:val="104"/>
                    <w:adjustRightInd w:val="0"/>
                    <w:snapToGrid w:val="0"/>
                    <w:spacing w:line="240" w:lineRule="auto"/>
                    <w:rPr>
                      <w:sz w:val="21"/>
                      <w:szCs w:val="21"/>
                    </w:rPr>
                  </w:pPr>
                  <w:r>
                    <w:rPr>
                      <w:sz w:val="21"/>
                      <w:szCs w:val="21"/>
                    </w:rPr>
                    <w:t>《地表水环境质量标准》（GB3838-2002）</w:t>
                  </w:r>
                  <w:r>
                    <w:rPr>
                      <w:rFonts w:hint="eastAsia"/>
                      <w:bCs/>
                      <w:sz w:val="21"/>
                      <w:szCs w:val="21"/>
                    </w:rPr>
                    <w:t>Ⅱ</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下山口</w:t>
                  </w:r>
                  <w:r>
                    <w:rPr>
                      <w:rFonts w:hint="eastAsia"/>
                      <w:sz w:val="21"/>
                      <w:szCs w:val="21"/>
                    </w:rPr>
                    <w:t>CWT站</w:t>
                  </w:r>
                </w:p>
              </w:tc>
              <w:tc>
                <w:tcPr>
                  <w:tcW w:w="736" w:type="dxa"/>
                  <w:vAlign w:val="center"/>
                </w:tcPr>
                <w:p>
                  <w:pPr>
                    <w:pStyle w:val="104"/>
                    <w:adjustRightInd w:val="0"/>
                    <w:snapToGrid w:val="0"/>
                    <w:spacing w:line="240" w:lineRule="auto"/>
                    <w:rPr>
                      <w:sz w:val="21"/>
                      <w:szCs w:val="21"/>
                    </w:rPr>
                  </w:pPr>
                  <w:r>
                    <w:rPr>
                      <w:rFonts w:hint="eastAsia"/>
                      <w:sz w:val="21"/>
                      <w:szCs w:val="21"/>
                    </w:rPr>
                    <w:t>弥苴河</w:t>
                  </w:r>
                </w:p>
              </w:tc>
              <w:tc>
                <w:tcPr>
                  <w:tcW w:w="886" w:type="dxa"/>
                  <w:vAlign w:val="center"/>
                </w:tcPr>
                <w:p>
                  <w:pPr>
                    <w:pStyle w:val="104"/>
                    <w:adjustRightInd w:val="0"/>
                    <w:snapToGrid w:val="0"/>
                    <w:spacing w:line="240" w:lineRule="auto"/>
                    <w:rPr>
                      <w:sz w:val="21"/>
                      <w:szCs w:val="21"/>
                    </w:rPr>
                  </w:pPr>
                  <w:r>
                    <w:rPr>
                      <w:rFonts w:hint="eastAsia"/>
                      <w:sz w:val="21"/>
                      <w:szCs w:val="21"/>
                    </w:rPr>
                    <w:t>100.030198</w:t>
                  </w:r>
                </w:p>
              </w:tc>
              <w:tc>
                <w:tcPr>
                  <w:tcW w:w="832" w:type="dxa"/>
                  <w:vAlign w:val="center"/>
                </w:tcPr>
                <w:p>
                  <w:pPr>
                    <w:pStyle w:val="104"/>
                    <w:adjustRightInd w:val="0"/>
                    <w:snapToGrid w:val="0"/>
                    <w:spacing w:line="240" w:lineRule="auto"/>
                    <w:rPr>
                      <w:sz w:val="21"/>
                      <w:szCs w:val="21"/>
                      <w:lang w:bidi="en-US"/>
                    </w:rPr>
                  </w:pPr>
                  <w:r>
                    <w:rPr>
                      <w:rFonts w:hint="eastAsia"/>
                      <w:sz w:val="21"/>
                      <w:szCs w:val="21"/>
                      <w:lang w:bidi="en-US"/>
                    </w:rPr>
                    <w:t>26.080161</w:t>
                  </w:r>
                </w:p>
              </w:tc>
              <w:tc>
                <w:tcPr>
                  <w:tcW w:w="982" w:type="dxa"/>
                  <w:vAlign w:val="center"/>
                </w:tcPr>
                <w:p>
                  <w:pPr>
                    <w:pStyle w:val="104"/>
                    <w:adjustRightInd w:val="0"/>
                    <w:snapToGrid w:val="0"/>
                    <w:spacing w:line="240" w:lineRule="auto"/>
                    <w:rPr>
                      <w:sz w:val="21"/>
                      <w:szCs w:val="21"/>
                    </w:rPr>
                  </w:pPr>
                  <w:r>
                    <w:rPr>
                      <w:rFonts w:hint="eastAsia"/>
                      <w:sz w:val="21"/>
                      <w:szCs w:val="21"/>
                    </w:rPr>
                    <w:t>/</w:t>
                  </w:r>
                </w:p>
              </w:tc>
              <w:tc>
                <w:tcPr>
                  <w:tcW w:w="559"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900" w:type="dxa"/>
                  <w:vAlign w:val="center"/>
                </w:tcPr>
                <w:p>
                  <w:pPr>
                    <w:pStyle w:val="104"/>
                    <w:adjustRightInd w:val="0"/>
                    <w:snapToGrid w:val="0"/>
                    <w:spacing w:line="240" w:lineRule="auto"/>
                    <w:rPr>
                      <w:sz w:val="21"/>
                      <w:szCs w:val="21"/>
                    </w:rPr>
                  </w:pPr>
                  <w:r>
                    <w:rPr>
                      <w:rFonts w:hint="eastAsia"/>
                      <w:sz w:val="21"/>
                      <w:szCs w:val="21"/>
                    </w:rPr>
                    <w:t>月120</w:t>
                  </w:r>
                </w:p>
              </w:tc>
              <w:tc>
                <w:tcPr>
                  <w:tcW w:w="887" w:type="dxa"/>
                  <w:vAlign w:val="center"/>
                </w:tcPr>
                <w:p>
                  <w:pPr>
                    <w:pStyle w:val="104"/>
                    <w:adjustRightInd w:val="0"/>
                    <w:snapToGrid w:val="0"/>
                    <w:spacing w:line="240" w:lineRule="auto"/>
                    <w:rPr>
                      <w:sz w:val="21"/>
                      <w:szCs w:val="21"/>
                    </w:rPr>
                  </w:pPr>
                  <w:r>
                    <w:rPr>
                      <w:rFonts w:hint="eastAsia"/>
                      <w:sz w:val="21"/>
                      <w:szCs w:val="21"/>
                    </w:rPr>
                    <w:t>/</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Align w:val="center"/>
                </w:tcPr>
                <w:p>
                  <w:pPr>
                    <w:pStyle w:val="104"/>
                    <w:adjustRightInd w:val="0"/>
                    <w:snapToGrid w:val="0"/>
                    <w:spacing w:line="240" w:lineRule="auto"/>
                    <w:rPr>
                      <w:color w:val="FF0000"/>
                      <w:sz w:val="21"/>
                      <w:szCs w:val="21"/>
                    </w:rPr>
                  </w:pPr>
                  <w:r>
                    <w:rPr>
                      <w:rFonts w:hint="eastAsia"/>
                      <w:color w:val="FF0000"/>
                      <w:sz w:val="21"/>
                      <w:szCs w:val="21"/>
                    </w:rPr>
                    <w:t>生态</w:t>
                  </w:r>
                </w:p>
              </w:tc>
              <w:tc>
                <w:tcPr>
                  <w:tcW w:w="6846" w:type="dxa"/>
                  <w:gridSpan w:val="8"/>
                  <w:vAlign w:val="center"/>
                </w:tcPr>
                <w:p>
                  <w:pPr>
                    <w:pStyle w:val="104"/>
                    <w:adjustRightInd w:val="0"/>
                    <w:snapToGrid w:val="0"/>
                    <w:spacing w:line="240" w:lineRule="auto"/>
                    <w:rPr>
                      <w:color w:val="FF0000"/>
                      <w:sz w:val="21"/>
                      <w:szCs w:val="21"/>
                    </w:rPr>
                  </w:pPr>
                  <w:r>
                    <w:rPr>
                      <w:rFonts w:hint="eastAsia"/>
                      <w:color w:val="FF0000"/>
                      <w:sz w:val="21"/>
                      <w:szCs w:val="21"/>
                    </w:rPr>
                    <w:t>项目区域及周围植被</w:t>
                  </w:r>
                </w:p>
              </w:tc>
              <w:tc>
                <w:tcPr>
                  <w:tcW w:w="1294" w:type="dxa"/>
                  <w:vAlign w:val="center"/>
                </w:tcPr>
                <w:p>
                  <w:pPr>
                    <w:pStyle w:val="104"/>
                    <w:adjustRightInd w:val="0"/>
                    <w:snapToGrid w:val="0"/>
                    <w:spacing w:line="240" w:lineRule="auto"/>
                    <w:jc w:val="left"/>
                    <w:rPr>
                      <w:color w:val="FF0000"/>
                      <w:sz w:val="21"/>
                      <w:szCs w:val="21"/>
                    </w:rPr>
                  </w:pPr>
                  <w:r>
                    <w:rPr>
                      <w:rFonts w:hint="eastAsia"/>
                      <w:color w:val="FF0000"/>
                      <w:sz w:val="21"/>
                      <w:szCs w:val="21"/>
                    </w:rPr>
                    <w:t>植被不被破坏</w:t>
                  </w:r>
                </w:p>
              </w:tc>
            </w:tr>
          </w:tbl>
          <w:p>
            <w:pPr>
              <w:rPr>
                <w:szCs w:val="21"/>
              </w:rPr>
            </w:pPr>
          </w:p>
        </w:tc>
      </w:tr>
    </w:tbl>
    <w:p>
      <w:pPr>
        <w:pStyle w:val="5"/>
        <w:spacing w:before="0" w:after="0"/>
      </w:pPr>
      <w:bookmarkStart w:id="15" w:name="_Toc13057"/>
      <w:r>
        <w:br w:type="page"/>
      </w:r>
      <w:r>
        <w:t>四</w:t>
      </w:r>
      <w:r>
        <w:rPr>
          <w:rFonts w:hint="eastAsia"/>
        </w:rPr>
        <w:t>、</w:t>
      </w:r>
      <w:r>
        <w:t>评价适用标准</w:t>
      </w:r>
      <w:bookmarkEnd w:id="15"/>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8" w:hRule="atLeast"/>
          <w:jc w:val="center"/>
        </w:trPr>
        <w:tc>
          <w:tcPr>
            <w:tcW w:w="498" w:type="dxa"/>
            <w:vAlign w:val="center"/>
          </w:tcPr>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r>
              <w:rPr>
                <w:b/>
                <w:bCs/>
                <w:sz w:val="28"/>
                <w:szCs w:val="28"/>
              </w:rPr>
              <w:t>环境质量标准</w:t>
            </w: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rPr>
                <w:b/>
                <w:bCs/>
                <w:sz w:val="28"/>
                <w:szCs w:val="28"/>
              </w:rPr>
            </w:pPr>
          </w:p>
          <w:p>
            <w:pPr>
              <w:pStyle w:val="31"/>
              <w:ind w:left="480"/>
              <w:rPr>
                <w:b/>
                <w:bCs/>
                <w:sz w:val="28"/>
                <w:szCs w:val="28"/>
              </w:rPr>
            </w:pPr>
          </w:p>
          <w:p>
            <w:pPr>
              <w:rPr>
                <w:b/>
                <w:bCs/>
                <w:sz w:val="28"/>
                <w:szCs w:val="28"/>
              </w:rPr>
            </w:pPr>
          </w:p>
          <w:p>
            <w:pPr>
              <w:pStyle w:val="31"/>
              <w:ind w:left="480"/>
            </w:pPr>
          </w:p>
          <w:p>
            <w:pPr>
              <w:pStyle w:val="17"/>
            </w:pPr>
          </w:p>
          <w:p>
            <w:pPr>
              <w:rPr>
                <w:szCs w:val="24"/>
              </w:rPr>
            </w:pPr>
          </w:p>
        </w:tc>
        <w:tc>
          <w:tcPr>
            <w:tcW w:w="8392" w:type="dxa"/>
            <w:vMerge w:val="restart"/>
          </w:tcPr>
          <w:p>
            <w:pPr>
              <w:spacing w:line="360" w:lineRule="auto"/>
              <w:ind w:firstLine="482" w:firstLineChars="200"/>
              <w:rPr>
                <w:b/>
                <w:szCs w:val="24"/>
              </w:rPr>
            </w:pPr>
            <w:r>
              <w:rPr>
                <w:b/>
                <w:szCs w:val="24"/>
              </w:rPr>
              <w:t>1、地表水</w:t>
            </w:r>
          </w:p>
          <w:p>
            <w:pPr>
              <w:spacing w:line="360" w:lineRule="auto"/>
              <w:ind w:firstLine="480" w:firstLineChars="200"/>
            </w:pPr>
            <w:r>
              <w:rPr>
                <w:rFonts w:hint="eastAsia"/>
              </w:rPr>
              <w:t>项目区域的水系由弥苴河、罗时江、永安江三个小流域构成，具体包括弥茨河、凤羽河、弥苴河、罗时江和永安江5条主要河流。根据《云南省地表水水环境功能区划（2010~2020）》云环发[2014]34 号文件的通知，洱海全湖水环境功能为国家自然保护区、饮用一级、一般鱼类用水、游泳区，水质类别为II类；茈碧湖全湖水环境功能为饮用一级、农业用水，水质类别为II类，西湖全湖水环境功能为饮用一级、景观用水，水质类别为II类；弥苴河（源头—入洱海口）水环境功能为一级、农业用水，水质类别为II类。</w:t>
            </w:r>
          </w:p>
          <w:p>
            <w:pPr>
              <w:spacing w:line="360" w:lineRule="auto"/>
              <w:ind w:firstLine="480" w:firstLineChars="200"/>
            </w:pPr>
            <w:r>
              <w:rPr>
                <w:rFonts w:hint="eastAsia"/>
              </w:rPr>
              <w:t>由于弥茨河、三营河、凤羽河、永安江、罗时江在云环发[2014]34号文件中未列出其水环境功能及水质类别，其属于洱海入湖河流，因此参照执行《地表水环境质量标准》（GB3838-2002）中 II 类水质标准。</w:t>
            </w:r>
          </w:p>
          <w:p>
            <w:pPr>
              <w:spacing w:line="360" w:lineRule="auto"/>
              <w:ind w:firstLine="480" w:firstLineChars="200"/>
              <w:rPr>
                <w:szCs w:val="24"/>
              </w:rPr>
            </w:pPr>
            <w:r>
              <w:rPr>
                <w:rFonts w:hint="eastAsia"/>
              </w:rPr>
              <w:t>根据大理州洱海保护治理领导组办公室 2008 年 6 月 11 日《关于规范洱海流域水质监测工作的通知》文件要求，洱海主要入湖河流水质均采用国家《地表水环境质量标准》（GB3838—2002）湖库标准评价。</w:t>
            </w:r>
            <w:r>
              <w:rPr>
                <w:szCs w:val="24"/>
              </w:rPr>
              <w:t>具体标准值见表</w:t>
            </w:r>
            <w:r>
              <w:rPr>
                <w:rFonts w:hint="eastAsia"/>
                <w:szCs w:val="24"/>
              </w:rPr>
              <w:t>4-</w:t>
            </w:r>
            <w:r>
              <w:rPr>
                <w:szCs w:val="24"/>
              </w:rPr>
              <w:t>1</w:t>
            </w:r>
            <w:r>
              <w:rPr>
                <w:rFonts w:hint="eastAsia"/>
                <w:szCs w:val="24"/>
              </w:rPr>
              <w:t>。</w:t>
            </w:r>
          </w:p>
          <w:p>
            <w:pPr>
              <w:spacing w:line="360" w:lineRule="auto"/>
              <w:ind w:firstLine="422" w:firstLineChars="200"/>
              <w:jc w:val="center"/>
              <w:rPr>
                <w:b/>
                <w:sz w:val="21"/>
                <w:szCs w:val="21"/>
              </w:rPr>
            </w:pPr>
            <w:r>
              <w:rPr>
                <w:b/>
                <w:sz w:val="21"/>
                <w:szCs w:val="21"/>
              </w:rPr>
              <w:t>表</w:t>
            </w:r>
            <w:r>
              <w:rPr>
                <w:rFonts w:hint="eastAsia"/>
                <w:b/>
                <w:sz w:val="21"/>
                <w:szCs w:val="21"/>
              </w:rPr>
              <w:t>4-</w:t>
            </w:r>
            <w:r>
              <w:rPr>
                <w:b/>
                <w:sz w:val="21"/>
                <w:szCs w:val="21"/>
              </w:rPr>
              <w:t>1 地表水环境质量标准  单位：mg/L</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505"/>
              <w:gridCol w:w="706"/>
              <w:gridCol w:w="804"/>
              <w:gridCol w:w="700"/>
              <w:gridCol w:w="1061"/>
              <w:gridCol w:w="675"/>
              <w:gridCol w:w="1117"/>
              <w:gridCol w:w="867"/>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8" w:type="dxa"/>
                  <w:vAlign w:val="center"/>
                </w:tcPr>
                <w:p>
                  <w:pPr>
                    <w:jc w:val="center"/>
                    <w:rPr>
                      <w:b/>
                      <w:bCs/>
                      <w:sz w:val="21"/>
                      <w:szCs w:val="21"/>
                    </w:rPr>
                  </w:pPr>
                  <w:r>
                    <w:rPr>
                      <w:rFonts w:hint="eastAsia"/>
                      <w:b/>
                      <w:bCs/>
                      <w:sz w:val="21"/>
                      <w:szCs w:val="21"/>
                    </w:rPr>
                    <w:t>类别</w:t>
                  </w:r>
                </w:p>
              </w:tc>
              <w:tc>
                <w:tcPr>
                  <w:tcW w:w="505" w:type="dxa"/>
                  <w:vAlign w:val="center"/>
                </w:tcPr>
                <w:p>
                  <w:pPr>
                    <w:jc w:val="center"/>
                    <w:rPr>
                      <w:b/>
                      <w:bCs/>
                      <w:sz w:val="21"/>
                      <w:szCs w:val="21"/>
                    </w:rPr>
                  </w:pPr>
                  <w:r>
                    <w:rPr>
                      <w:b/>
                      <w:bCs/>
                      <w:sz w:val="21"/>
                      <w:szCs w:val="21"/>
                    </w:rPr>
                    <w:t>pH</w:t>
                  </w:r>
                </w:p>
              </w:tc>
              <w:tc>
                <w:tcPr>
                  <w:tcW w:w="706" w:type="dxa"/>
                  <w:vAlign w:val="center"/>
                </w:tcPr>
                <w:p>
                  <w:pPr>
                    <w:jc w:val="center"/>
                    <w:rPr>
                      <w:b/>
                      <w:bCs/>
                      <w:sz w:val="21"/>
                      <w:szCs w:val="21"/>
                      <w:vertAlign w:val="subscript"/>
                    </w:rPr>
                  </w:pPr>
                  <w:r>
                    <w:rPr>
                      <w:b/>
                      <w:bCs/>
                      <w:sz w:val="21"/>
                      <w:szCs w:val="21"/>
                    </w:rPr>
                    <w:t>COD</w:t>
                  </w:r>
                </w:p>
              </w:tc>
              <w:tc>
                <w:tcPr>
                  <w:tcW w:w="804" w:type="dxa"/>
                  <w:vAlign w:val="center"/>
                </w:tcPr>
                <w:p>
                  <w:pPr>
                    <w:jc w:val="center"/>
                    <w:rPr>
                      <w:b/>
                      <w:bCs/>
                      <w:sz w:val="21"/>
                      <w:szCs w:val="21"/>
                    </w:rPr>
                  </w:pPr>
                  <w:r>
                    <w:rPr>
                      <w:b/>
                      <w:bCs/>
                      <w:sz w:val="21"/>
                      <w:szCs w:val="21"/>
                    </w:rPr>
                    <w:t>BOD</w:t>
                  </w:r>
                  <w:r>
                    <w:rPr>
                      <w:b/>
                      <w:bCs/>
                      <w:sz w:val="21"/>
                      <w:szCs w:val="21"/>
                      <w:vertAlign w:val="subscript"/>
                    </w:rPr>
                    <w:t>5</w:t>
                  </w:r>
                </w:p>
              </w:tc>
              <w:tc>
                <w:tcPr>
                  <w:tcW w:w="700" w:type="dxa"/>
                  <w:vAlign w:val="center"/>
                </w:tcPr>
                <w:p>
                  <w:pPr>
                    <w:jc w:val="center"/>
                    <w:rPr>
                      <w:b/>
                      <w:bCs/>
                      <w:sz w:val="21"/>
                      <w:szCs w:val="21"/>
                    </w:rPr>
                  </w:pPr>
                  <w:r>
                    <w:rPr>
                      <w:rFonts w:hint="eastAsia" w:hAnsi="宋体"/>
                      <w:b/>
                      <w:bCs/>
                      <w:sz w:val="21"/>
                      <w:szCs w:val="21"/>
                    </w:rPr>
                    <w:t>氨氮</w:t>
                  </w:r>
                </w:p>
              </w:tc>
              <w:tc>
                <w:tcPr>
                  <w:tcW w:w="1061" w:type="dxa"/>
                  <w:vAlign w:val="center"/>
                </w:tcPr>
                <w:p>
                  <w:pPr>
                    <w:jc w:val="center"/>
                    <w:rPr>
                      <w:b/>
                      <w:bCs/>
                      <w:sz w:val="21"/>
                      <w:szCs w:val="21"/>
                    </w:rPr>
                  </w:pPr>
                  <w:r>
                    <w:rPr>
                      <w:rFonts w:hint="eastAsia" w:hAnsi="宋体"/>
                      <w:b/>
                      <w:bCs/>
                      <w:sz w:val="21"/>
                      <w:szCs w:val="21"/>
                    </w:rPr>
                    <w:t>总磷</w:t>
                  </w:r>
                </w:p>
              </w:tc>
              <w:tc>
                <w:tcPr>
                  <w:tcW w:w="675" w:type="dxa"/>
                  <w:vAlign w:val="center"/>
                </w:tcPr>
                <w:p>
                  <w:pPr>
                    <w:widowControl/>
                    <w:jc w:val="center"/>
                    <w:rPr>
                      <w:b/>
                      <w:bCs/>
                      <w:sz w:val="21"/>
                      <w:szCs w:val="21"/>
                    </w:rPr>
                  </w:pPr>
                  <w:r>
                    <w:rPr>
                      <w:rFonts w:hint="eastAsia" w:hAnsi="宋体"/>
                      <w:b/>
                      <w:bCs/>
                      <w:sz w:val="21"/>
                      <w:szCs w:val="21"/>
                    </w:rPr>
                    <w:t>总氮</w:t>
                  </w:r>
                </w:p>
              </w:tc>
              <w:tc>
                <w:tcPr>
                  <w:tcW w:w="1117" w:type="dxa"/>
                  <w:vAlign w:val="center"/>
                </w:tcPr>
                <w:p>
                  <w:pPr>
                    <w:widowControl/>
                    <w:jc w:val="center"/>
                    <w:rPr>
                      <w:b/>
                      <w:bCs/>
                      <w:sz w:val="21"/>
                      <w:szCs w:val="21"/>
                    </w:rPr>
                  </w:pPr>
                  <w:r>
                    <w:rPr>
                      <w:rFonts w:hint="eastAsia" w:hAnsi="宋体"/>
                      <w:b/>
                      <w:bCs/>
                      <w:sz w:val="21"/>
                      <w:szCs w:val="21"/>
                    </w:rPr>
                    <w:t>粪大肠菌群（个</w:t>
                  </w:r>
                  <w:r>
                    <w:rPr>
                      <w:b/>
                      <w:bCs/>
                      <w:sz w:val="21"/>
                      <w:szCs w:val="21"/>
                    </w:rPr>
                    <w:t>/L</w:t>
                  </w:r>
                  <w:r>
                    <w:rPr>
                      <w:rFonts w:hint="eastAsia" w:hAnsi="宋体"/>
                      <w:b/>
                      <w:bCs/>
                      <w:sz w:val="21"/>
                      <w:szCs w:val="21"/>
                    </w:rPr>
                    <w:t>）</w:t>
                  </w:r>
                </w:p>
              </w:tc>
              <w:tc>
                <w:tcPr>
                  <w:tcW w:w="867" w:type="dxa"/>
                  <w:vAlign w:val="center"/>
                </w:tcPr>
                <w:p>
                  <w:pPr>
                    <w:widowControl/>
                    <w:jc w:val="center"/>
                    <w:rPr>
                      <w:sz w:val="21"/>
                      <w:szCs w:val="21"/>
                    </w:rPr>
                  </w:pPr>
                  <w:r>
                    <w:rPr>
                      <w:rFonts w:hint="eastAsia"/>
                      <w:b/>
                      <w:bCs/>
                      <w:sz w:val="21"/>
                      <w:szCs w:val="21"/>
                    </w:rPr>
                    <w:t>石油类</w:t>
                  </w:r>
                </w:p>
              </w:tc>
              <w:tc>
                <w:tcPr>
                  <w:tcW w:w="1053" w:type="dxa"/>
                  <w:vAlign w:val="center"/>
                </w:tcPr>
                <w:p>
                  <w:pPr>
                    <w:widowControl/>
                    <w:jc w:val="center"/>
                    <w:rPr>
                      <w:sz w:val="21"/>
                      <w:szCs w:val="21"/>
                    </w:rPr>
                  </w:pPr>
                  <w:r>
                    <w:rPr>
                      <w:rFonts w:hint="eastAsia"/>
                      <w:b/>
                      <w:bCs/>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8" w:type="dxa"/>
                  <w:vAlign w:val="center"/>
                </w:tcPr>
                <w:p>
                  <w:pPr>
                    <w:jc w:val="center"/>
                    <w:rPr>
                      <w:sz w:val="21"/>
                      <w:szCs w:val="21"/>
                    </w:rPr>
                  </w:pPr>
                  <w:r>
                    <w:rPr>
                      <w:rFonts w:hint="eastAsia" w:hAnsi="宋体"/>
                      <w:sz w:val="21"/>
                      <w:szCs w:val="21"/>
                    </w:rPr>
                    <w:t>Ⅱ类标准</w:t>
                  </w:r>
                </w:p>
              </w:tc>
              <w:tc>
                <w:tcPr>
                  <w:tcW w:w="505" w:type="dxa"/>
                  <w:vAlign w:val="center"/>
                </w:tcPr>
                <w:p>
                  <w:pPr>
                    <w:jc w:val="center"/>
                    <w:rPr>
                      <w:sz w:val="21"/>
                      <w:szCs w:val="21"/>
                    </w:rPr>
                  </w:pPr>
                  <w:r>
                    <w:rPr>
                      <w:sz w:val="21"/>
                      <w:szCs w:val="21"/>
                    </w:rPr>
                    <w:t>6</w:t>
                  </w:r>
                  <w:r>
                    <w:rPr>
                      <w:rFonts w:hint="eastAsia"/>
                      <w:sz w:val="21"/>
                      <w:szCs w:val="21"/>
                    </w:rPr>
                    <w:t>-</w:t>
                  </w:r>
                  <w:r>
                    <w:rPr>
                      <w:sz w:val="21"/>
                      <w:szCs w:val="21"/>
                    </w:rPr>
                    <w:t>9</w:t>
                  </w:r>
                </w:p>
              </w:tc>
              <w:tc>
                <w:tcPr>
                  <w:tcW w:w="706" w:type="dxa"/>
                  <w:vAlign w:val="center"/>
                </w:tcPr>
                <w:p>
                  <w:pPr>
                    <w:jc w:val="center"/>
                    <w:rPr>
                      <w:sz w:val="21"/>
                      <w:szCs w:val="21"/>
                    </w:rPr>
                  </w:pPr>
                  <w:r>
                    <w:rPr>
                      <w:sz w:val="21"/>
                      <w:szCs w:val="21"/>
                    </w:rPr>
                    <w:t>≤15</w:t>
                  </w:r>
                </w:p>
              </w:tc>
              <w:tc>
                <w:tcPr>
                  <w:tcW w:w="804" w:type="dxa"/>
                  <w:vAlign w:val="center"/>
                </w:tcPr>
                <w:p>
                  <w:pPr>
                    <w:jc w:val="center"/>
                    <w:rPr>
                      <w:sz w:val="21"/>
                      <w:szCs w:val="21"/>
                    </w:rPr>
                  </w:pPr>
                  <w:r>
                    <w:rPr>
                      <w:sz w:val="21"/>
                      <w:szCs w:val="21"/>
                    </w:rPr>
                    <w:t>≤3</w:t>
                  </w:r>
                </w:p>
              </w:tc>
              <w:tc>
                <w:tcPr>
                  <w:tcW w:w="700" w:type="dxa"/>
                  <w:vAlign w:val="center"/>
                </w:tcPr>
                <w:p>
                  <w:pPr>
                    <w:jc w:val="center"/>
                    <w:rPr>
                      <w:sz w:val="21"/>
                      <w:szCs w:val="21"/>
                    </w:rPr>
                  </w:pPr>
                  <w:r>
                    <w:rPr>
                      <w:sz w:val="21"/>
                      <w:szCs w:val="21"/>
                    </w:rPr>
                    <w:t>≤0.5</w:t>
                  </w:r>
                </w:p>
              </w:tc>
              <w:tc>
                <w:tcPr>
                  <w:tcW w:w="1061" w:type="dxa"/>
                  <w:vAlign w:val="center"/>
                </w:tcPr>
                <w:p>
                  <w:pPr>
                    <w:jc w:val="center"/>
                    <w:rPr>
                      <w:sz w:val="21"/>
                      <w:szCs w:val="21"/>
                    </w:rPr>
                  </w:pPr>
                  <w:r>
                    <w:rPr>
                      <w:sz w:val="21"/>
                      <w:szCs w:val="21"/>
                    </w:rPr>
                    <w:t>≤0.025</w:t>
                  </w:r>
                </w:p>
                <w:p>
                  <w:pPr>
                    <w:jc w:val="center"/>
                    <w:rPr>
                      <w:sz w:val="21"/>
                      <w:szCs w:val="21"/>
                    </w:rPr>
                  </w:pPr>
                  <w:r>
                    <w:rPr>
                      <w:rFonts w:hint="eastAsia" w:hAnsi="宋体"/>
                      <w:sz w:val="21"/>
                      <w:szCs w:val="21"/>
                    </w:rPr>
                    <w:t>（湖、库）</w:t>
                  </w:r>
                </w:p>
              </w:tc>
              <w:tc>
                <w:tcPr>
                  <w:tcW w:w="675" w:type="dxa"/>
                  <w:vAlign w:val="center"/>
                </w:tcPr>
                <w:p>
                  <w:pPr>
                    <w:jc w:val="center"/>
                    <w:rPr>
                      <w:sz w:val="21"/>
                      <w:szCs w:val="21"/>
                    </w:rPr>
                  </w:pPr>
                  <w:r>
                    <w:rPr>
                      <w:sz w:val="21"/>
                      <w:szCs w:val="21"/>
                    </w:rPr>
                    <w:t>≤0.5</w:t>
                  </w:r>
                </w:p>
              </w:tc>
              <w:tc>
                <w:tcPr>
                  <w:tcW w:w="1117" w:type="dxa"/>
                  <w:vAlign w:val="center"/>
                </w:tcPr>
                <w:p>
                  <w:pPr>
                    <w:widowControl/>
                    <w:jc w:val="center"/>
                    <w:rPr>
                      <w:sz w:val="21"/>
                      <w:szCs w:val="21"/>
                    </w:rPr>
                  </w:pPr>
                  <w:r>
                    <w:rPr>
                      <w:sz w:val="21"/>
                      <w:szCs w:val="21"/>
                    </w:rPr>
                    <w:t>≤2000</w:t>
                  </w:r>
                </w:p>
              </w:tc>
              <w:tc>
                <w:tcPr>
                  <w:tcW w:w="867" w:type="dxa"/>
                  <w:vAlign w:val="center"/>
                </w:tcPr>
                <w:p>
                  <w:pPr>
                    <w:widowControl/>
                    <w:jc w:val="center"/>
                    <w:rPr>
                      <w:sz w:val="21"/>
                      <w:szCs w:val="21"/>
                    </w:rPr>
                  </w:pPr>
                  <w:r>
                    <w:rPr>
                      <w:sz w:val="21"/>
                      <w:szCs w:val="21"/>
                    </w:rPr>
                    <w:t>≤0.</w:t>
                  </w:r>
                  <w:r>
                    <w:rPr>
                      <w:rFonts w:hint="eastAsia"/>
                      <w:sz w:val="21"/>
                      <w:szCs w:val="21"/>
                    </w:rPr>
                    <w:t>0</w:t>
                  </w:r>
                  <w:r>
                    <w:rPr>
                      <w:sz w:val="21"/>
                      <w:szCs w:val="21"/>
                    </w:rPr>
                    <w:t>5</w:t>
                  </w:r>
                </w:p>
              </w:tc>
              <w:tc>
                <w:tcPr>
                  <w:tcW w:w="1053" w:type="dxa"/>
                  <w:vAlign w:val="center"/>
                </w:tcPr>
                <w:p>
                  <w:pPr>
                    <w:widowControl/>
                    <w:jc w:val="center"/>
                    <w:rPr>
                      <w:sz w:val="21"/>
                      <w:szCs w:val="21"/>
                    </w:rPr>
                  </w:pPr>
                  <w:r>
                    <w:rPr>
                      <w:sz w:val="21"/>
                      <w:szCs w:val="21"/>
                    </w:rPr>
                    <w:t>≤0.</w:t>
                  </w:r>
                  <w:r>
                    <w:rPr>
                      <w:rFonts w:hint="eastAsia"/>
                      <w:sz w:val="21"/>
                      <w:szCs w:val="21"/>
                    </w:rPr>
                    <w:t>2</w:t>
                  </w:r>
                </w:p>
              </w:tc>
            </w:tr>
          </w:tbl>
          <w:p>
            <w:pPr>
              <w:pStyle w:val="9"/>
              <w:adjustRightInd w:val="0"/>
              <w:snapToGrid w:val="0"/>
              <w:spacing w:beforeLines="50" w:line="360" w:lineRule="auto"/>
              <w:ind w:firstLine="482"/>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、环境空气</w:t>
            </w:r>
          </w:p>
          <w:p>
            <w:pPr>
              <w:adjustRightInd w:val="0"/>
              <w:snapToGrid w:val="0"/>
              <w:spacing w:line="360" w:lineRule="auto"/>
              <w:ind w:firstLine="480" w:firstLineChars="200"/>
              <w:rPr>
                <w:szCs w:val="24"/>
              </w:rPr>
            </w:pPr>
            <w:r>
              <w:rPr>
                <w:rFonts w:hint="eastAsia"/>
              </w:rPr>
              <w:t>本项目位于云南省大理州洱源县，涉及洱源县的</w:t>
            </w:r>
            <w:r>
              <w:t>牛街乡、三营镇、茈碧湖镇、右所镇</w:t>
            </w:r>
            <w:r>
              <w:rPr>
                <w:rFonts w:hint="eastAsia"/>
              </w:rPr>
              <w:t>、</w:t>
            </w:r>
            <w:r>
              <w:t>邓川镇</w:t>
            </w:r>
            <w:r>
              <w:rPr>
                <w:rFonts w:hint="eastAsia"/>
              </w:rPr>
              <w:t>和凤羽镇6</w:t>
            </w:r>
            <w:r>
              <w:t>个乡镇行政区范围</w:t>
            </w:r>
            <w:r>
              <w:rPr>
                <w:rFonts w:hint="eastAsia"/>
              </w:rPr>
              <w:t>，属于农村地区，</w:t>
            </w:r>
            <w:r>
              <w:t>环境空气</w:t>
            </w:r>
            <w:r>
              <w:rPr>
                <w:rFonts w:hint="eastAsia"/>
              </w:rPr>
              <w:t>污染物基本项目</w:t>
            </w:r>
            <w:r>
              <w:rPr>
                <w:kern w:val="32"/>
              </w:rPr>
              <w:t>执行《环境空气质量标准》（GB</w:t>
            </w:r>
            <w:r>
              <w:rPr>
                <w:rFonts w:hint="eastAsia"/>
                <w:kern w:val="32"/>
              </w:rPr>
              <w:t xml:space="preserve"> </w:t>
            </w:r>
            <w:r>
              <w:rPr>
                <w:kern w:val="32"/>
              </w:rPr>
              <w:t>3095-2012）二级标准</w:t>
            </w:r>
            <w:r>
              <w:rPr>
                <w:rFonts w:hint="eastAsia"/>
                <w:kern w:val="32"/>
              </w:rPr>
              <w:t>限值</w:t>
            </w:r>
            <w:r>
              <w:rPr>
                <w:rFonts w:hint="eastAsia"/>
              </w:rPr>
              <w:t>；H</w:t>
            </w:r>
            <w:r>
              <w:rPr>
                <w:rFonts w:hint="eastAsia"/>
                <w:vertAlign w:val="subscript"/>
              </w:rPr>
              <w:t>2</w:t>
            </w:r>
            <w:r>
              <w:rPr>
                <w:rFonts w:hint="eastAsia"/>
              </w:rPr>
              <w:t>S、NH</w:t>
            </w:r>
            <w:r>
              <w:rPr>
                <w:rFonts w:hint="eastAsia"/>
                <w:vertAlign w:val="subscript"/>
              </w:rPr>
              <w:t>3</w:t>
            </w:r>
            <w:r>
              <w:rPr>
                <w:rFonts w:hint="eastAsia"/>
              </w:rPr>
              <w:t>参照《环境影响评价技术导则 大气环境》（HJ2.2-2018）附录D中其他污染物空气质量浓度限值</w:t>
            </w:r>
            <w:r>
              <w:rPr>
                <w:rFonts w:hint="eastAsia"/>
                <w:kern w:val="32"/>
              </w:rPr>
              <w:t>，</w:t>
            </w:r>
            <w:r>
              <w:rPr>
                <w:rFonts w:hint="eastAsia"/>
                <w:szCs w:val="24"/>
              </w:rPr>
              <w:t>具体</w:t>
            </w:r>
            <w:r>
              <w:rPr>
                <w:szCs w:val="24"/>
              </w:rPr>
              <w:t>标准限值</w:t>
            </w:r>
            <w:r>
              <w:rPr>
                <w:rFonts w:hint="eastAsia"/>
                <w:szCs w:val="24"/>
              </w:rPr>
              <w:t>见</w:t>
            </w:r>
            <w:r>
              <w:rPr>
                <w:szCs w:val="24"/>
              </w:rPr>
              <w:t>表</w:t>
            </w:r>
            <w:r>
              <w:rPr>
                <w:rFonts w:hint="eastAsia"/>
                <w:szCs w:val="24"/>
              </w:rPr>
              <w:t>4-</w:t>
            </w:r>
            <w:r>
              <w:rPr>
                <w:szCs w:val="24"/>
              </w:rPr>
              <w:t>2</w:t>
            </w:r>
            <w:r>
              <w:rPr>
                <w:rFonts w:hint="eastAsia"/>
                <w:szCs w:val="24"/>
              </w:rPr>
              <w:t>。</w:t>
            </w:r>
          </w:p>
          <w:p>
            <w:pPr>
              <w:adjustRightInd w:val="0"/>
              <w:snapToGrid w:val="0"/>
              <w:spacing w:line="360" w:lineRule="auto"/>
              <w:ind w:firstLine="422" w:firstLineChars="200"/>
              <w:jc w:val="center"/>
              <w:rPr>
                <w:b/>
                <w:sz w:val="21"/>
                <w:szCs w:val="21"/>
              </w:rPr>
            </w:pPr>
            <w:r>
              <w:rPr>
                <w:b/>
                <w:sz w:val="21"/>
                <w:szCs w:val="21"/>
              </w:rPr>
              <w:t>表</w:t>
            </w:r>
            <w:r>
              <w:rPr>
                <w:rFonts w:hint="eastAsia"/>
                <w:b/>
                <w:sz w:val="21"/>
                <w:szCs w:val="21"/>
              </w:rPr>
              <w:t>4-</w:t>
            </w:r>
            <w:r>
              <w:rPr>
                <w:b/>
                <w:sz w:val="21"/>
                <w:szCs w:val="21"/>
              </w:rPr>
              <w:t xml:space="preserve">2 环境空气质量标准限值  </w:t>
            </w:r>
            <w:r>
              <w:rPr>
                <w:rFonts w:hint="eastAsia"/>
                <w:b/>
                <w:sz w:val="21"/>
                <w:szCs w:val="21"/>
              </w:rPr>
              <w:t xml:space="preserve"> </w:t>
            </w:r>
            <w:r>
              <w:rPr>
                <w:b/>
                <w:sz w:val="21"/>
                <w:szCs w:val="21"/>
              </w:rPr>
              <w:t>单位：</w:t>
            </w:r>
            <w:r>
              <w:rPr>
                <w:b/>
                <w:bCs/>
                <w:sz w:val="21"/>
                <w:szCs w:val="21"/>
              </w:rPr>
              <w:t>μg/m</w:t>
            </w:r>
            <w:r>
              <w:rPr>
                <w:b/>
                <w:bCs/>
                <w:sz w:val="21"/>
                <w:szCs w:val="21"/>
                <w:vertAlign w:val="superscript"/>
              </w:rPr>
              <w:t>3</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875"/>
              <w:gridCol w:w="2012"/>
              <w:gridCol w:w="800"/>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Align w:val="center"/>
                </w:tcPr>
                <w:p>
                  <w:pPr>
                    <w:autoSpaceDE w:val="0"/>
                    <w:autoSpaceDN w:val="0"/>
                    <w:adjustRightInd w:val="0"/>
                    <w:jc w:val="center"/>
                    <w:textAlignment w:val="baseline"/>
                    <w:rPr>
                      <w:b/>
                      <w:bCs/>
                      <w:sz w:val="21"/>
                      <w:szCs w:val="21"/>
                    </w:rPr>
                  </w:pPr>
                  <w:r>
                    <w:rPr>
                      <w:b/>
                      <w:bCs/>
                      <w:sz w:val="21"/>
                      <w:szCs w:val="21"/>
                    </w:rPr>
                    <w:t>污染物名称</w:t>
                  </w:r>
                </w:p>
              </w:tc>
              <w:tc>
                <w:tcPr>
                  <w:tcW w:w="1875" w:type="dxa"/>
                  <w:vAlign w:val="center"/>
                </w:tcPr>
                <w:p>
                  <w:pPr>
                    <w:autoSpaceDE w:val="0"/>
                    <w:autoSpaceDN w:val="0"/>
                    <w:adjustRightInd w:val="0"/>
                    <w:ind w:firstLine="422" w:firstLineChars="200"/>
                    <w:jc w:val="center"/>
                    <w:textAlignment w:val="baseline"/>
                    <w:rPr>
                      <w:b/>
                      <w:bCs/>
                      <w:sz w:val="21"/>
                      <w:szCs w:val="21"/>
                    </w:rPr>
                  </w:pPr>
                  <w:r>
                    <w:rPr>
                      <w:rFonts w:hint="eastAsia"/>
                      <w:b/>
                      <w:bCs/>
                      <w:sz w:val="21"/>
                      <w:szCs w:val="21"/>
                    </w:rPr>
                    <w:t>平均时间</w:t>
                  </w:r>
                </w:p>
              </w:tc>
              <w:tc>
                <w:tcPr>
                  <w:tcW w:w="2012" w:type="dxa"/>
                  <w:vAlign w:val="center"/>
                </w:tcPr>
                <w:p>
                  <w:pPr>
                    <w:autoSpaceDE w:val="0"/>
                    <w:autoSpaceDN w:val="0"/>
                    <w:adjustRightInd w:val="0"/>
                    <w:jc w:val="center"/>
                    <w:textAlignment w:val="baseline"/>
                    <w:rPr>
                      <w:b/>
                      <w:bCs/>
                      <w:sz w:val="21"/>
                      <w:szCs w:val="21"/>
                    </w:rPr>
                  </w:pPr>
                  <w:r>
                    <w:rPr>
                      <w:b/>
                      <w:bCs/>
                      <w:kern w:val="0"/>
                      <w:sz w:val="21"/>
                      <w:szCs w:val="21"/>
                    </w:rPr>
                    <w:t>二级标准浓度限值</w:t>
                  </w:r>
                </w:p>
              </w:tc>
              <w:tc>
                <w:tcPr>
                  <w:tcW w:w="800" w:type="dxa"/>
                  <w:vAlign w:val="center"/>
                </w:tcPr>
                <w:p>
                  <w:pPr>
                    <w:autoSpaceDE w:val="0"/>
                    <w:autoSpaceDN w:val="0"/>
                    <w:adjustRightInd w:val="0"/>
                    <w:jc w:val="center"/>
                    <w:textAlignment w:val="baseline"/>
                    <w:rPr>
                      <w:b/>
                      <w:bCs/>
                      <w:kern w:val="0"/>
                      <w:sz w:val="21"/>
                      <w:szCs w:val="21"/>
                    </w:rPr>
                  </w:pPr>
                  <w:r>
                    <w:rPr>
                      <w:rFonts w:hint="eastAsia"/>
                      <w:b/>
                      <w:bCs/>
                      <w:kern w:val="0"/>
                      <w:sz w:val="21"/>
                      <w:szCs w:val="21"/>
                    </w:rPr>
                    <w:t>单位</w:t>
                  </w:r>
                </w:p>
              </w:tc>
              <w:tc>
                <w:tcPr>
                  <w:tcW w:w="2189" w:type="dxa"/>
                  <w:vAlign w:val="center"/>
                </w:tcPr>
                <w:p>
                  <w:pPr>
                    <w:autoSpaceDE w:val="0"/>
                    <w:autoSpaceDN w:val="0"/>
                    <w:adjustRightInd w:val="0"/>
                    <w:jc w:val="center"/>
                    <w:textAlignment w:val="baseline"/>
                    <w:rPr>
                      <w:b/>
                      <w:bCs/>
                      <w:kern w:val="0"/>
                      <w:sz w:val="21"/>
                      <w:szCs w:val="21"/>
                    </w:rPr>
                  </w:pPr>
                  <w:r>
                    <w:rPr>
                      <w:rFonts w:hint="eastAsia"/>
                      <w:b/>
                      <w:bCs/>
                      <w:kern w:val="0"/>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二氧化硫(SO</w:t>
                  </w:r>
                  <w:r>
                    <w:rPr>
                      <w:sz w:val="21"/>
                      <w:szCs w:val="21"/>
                      <w:vertAlign w:val="subscript"/>
                    </w:rPr>
                    <w:t>2</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60</w:t>
                  </w:r>
                </w:p>
              </w:tc>
              <w:tc>
                <w:tcPr>
                  <w:tcW w:w="800" w:type="dxa"/>
                  <w:vMerge w:val="restart"/>
                  <w:vAlign w:val="center"/>
                </w:tcPr>
                <w:p>
                  <w:pPr>
                    <w:autoSpaceDE w:val="0"/>
                    <w:autoSpaceDN w:val="0"/>
                    <w:adjustRightInd w:val="0"/>
                    <w:jc w:val="center"/>
                    <w:textAlignment w:val="baseline"/>
                    <w:rPr>
                      <w:sz w:val="21"/>
                      <w:szCs w:val="21"/>
                    </w:rPr>
                  </w:pPr>
                  <w:r>
                    <w:rPr>
                      <w:rFonts w:hint="eastAsia"/>
                      <w:sz w:val="21"/>
                      <w:szCs w:val="21"/>
                    </w:rPr>
                    <w:t>ug/m</w:t>
                  </w:r>
                  <w:r>
                    <w:rPr>
                      <w:rFonts w:hint="eastAsia"/>
                      <w:sz w:val="21"/>
                      <w:szCs w:val="21"/>
                      <w:vertAlign w:val="superscript"/>
                    </w:rPr>
                    <w:t>3</w:t>
                  </w:r>
                </w:p>
              </w:tc>
              <w:tc>
                <w:tcPr>
                  <w:tcW w:w="2189" w:type="dxa"/>
                  <w:vMerge w:val="restart"/>
                  <w:vAlign w:val="center"/>
                </w:tcPr>
                <w:p>
                  <w:pPr>
                    <w:autoSpaceDE w:val="0"/>
                    <w:autoSpaceDN w:val="0"/>
                    <w:adjustRightInd w:val="0"/>
                    <w:jc w:val="center"/>
                    <w:textAlignment w:val="baseline"/>
                    <w:rPr>
                      <w:sz w:val="21"/>
                      <w:szCs w:val="21"/>
                    </w:rPr>
                  </w:pPr>
                  <w:r>
                    <w:rPr>
                      <w:rFonts w:hint="eastAsia"/>
                      <w:sz w:val="21"/>
                      <w:szCs w:val="21"/>
                    </w:rPr>
                    <w:t>《环境空气质量标准》（GB3095-2012）表1（基本项目浓度限值）二级标准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150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500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二氧化氮(NO</w:t>
                  </w:r>
                  <w:r>
                    <w:rPr>
                      <w:sz w:val="21"/>
                      <w:szCs w:val="21"/>
                      <w:vertAlign w:val="subscript"/>
                    </w:rPr>
                    <w:t>2</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40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80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200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一氧化碳（CO）</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4</w:t>
                  </w:r>
                </w:p>
              </w:tc>
              <w:tc>
                <w:tcPr>
                  <w:tcW w:w="800" w:type="dxa"/>
                  <w:vMerge w:val="restart"/>
                  <w:vAlign w:val="center"/>
                </w:tcPr>
                <w:p>
                  <w:pPr>
                    <w:autoSpaceDE w:val="0"/>
                    <w:autoSpaceDN w:val="0"/>
                    <w:adjustRightInd w:val="0"/>
                    <w:jc w:val="center"/>
                    <w:textAlignment w:val="baseline"/>
                    <w:rPr>
                      <w:sz w:val="21"/>
                      <w:szCs w:val="21"/>
                    </w:rPr>
                  </w:pPr>
                  <w:r>
                    <w:rPr>
                      <w:sz w:val="21"/>
                      <w:szCs w:val="21"/>
                    </w:rPr>
                    <w:t>mg/m</w:t>
                  </w:r>
                  <w:r>
                    <w:rPr>
                      <w:sz w:val="21"/>
                      <w:szCs w:val="21"/>
                      <w:vertAlign w:val="superscript"/>
                    </w:rPr>
                    <w:t>3</w:t>
                  </w: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10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臭氧</w:t>
                  </w:r>
                </w:p>
                <w:p>
                  <w:pPr>
                    <w:autoSpaceDE w:val="0"/>
                    <w:autoSpaceDN w:val="0"/>
                    <w:adjustRightInd w:val="0"/>
                    <w:jc w:val="center"/>
                    <w:textAlignment w:val="baseline"/>
                    <w:rPr>
                      <w:sz w:val="21"/>
                      <w:szCs w:val="21"/>
                    </w:rPr>
                  </w:pPr>
                  <w:r>
                    <w:rPr>
                      <w:sz w:val="21"/>
                      <w:szCs w:val="21"/>
                    </w:rPr>
                    <w:t>（O</w:t>
                  </w:r>
                  <w:r>
                    <w:rPr>
                      <w:sz w:val="21"/>
                      <w:szCs w:val="21"/>
                      <w:vertAlign w:val="subscript"/>
                    </w:rPr>
                    <w:t>3</w:t>
                  </w:r>
                  <w:r>
                    <w:rPr>
                      <w:sz w:val="21"/>
                      <w:szCs w:val="21"/>
                    </w:rPr>
                    <w:t>）</w:t>
                  </w:r>
                </w:p>
              </w:tc>
              <w:tc>
                <w:tcPr>
                  <w:tcW w:w="1875" w:type="dxa"/>
                  <w:vAlign w:val="center"/>
                </w:tcPr>
                <w:p>
                  <w:pPr>
                    <w:jc w:val="center"/>
                    <w:rPr>
                      <w:sz w:val="21"/>
                      <w:szCs w:val="21"/>
                    </w:rPr>
                  </w:pPr>
                  <w:r>
                    <w:rPr>
                      <w:sz w:val="21"/>
                      <w:szCs w:val="21"/>
                    </w:rPr>
                    <w:t>日最大8小时平均</w:t>
                  </w:r>
                </w:p>
              </w:tc>
              <w:tc>
                <w:tcPr>
                  <w:tcW w:w="2012" w:type="dxa"/>
                  <w:vAlign w:val="center"/>
                </w:tcPr>
                <w:p>
                  <w:pPr>
                    <w:ind w:firstLine="210" w:firstLineChars="100"/>
                    <w:jc w:val="center"/>
                    <w:rPr>
                      <w:sz w:val="21"/>
                      <w:szCs w:val="21"/>
                    </w:rPr>
                  </w:pPr>
                  <w:r>
                    <w:rPr>
                      <w:sz w:val="21"/>
                      <w:szCs w:val="21"/>
                    </w:rPr>
                    <w:t>160</w:t>
                  </w:r>
                </w:p>
              </w:tc>
              <w:tc>
                <w:tcPr>
                  <w:tcW w:w="800" w:type="dxa"/>
                  <w:vMerge w:val="restart"/>
                  <w:vAlign w:val="center"/>
                </w:tcPr>
                <w:p>
                  <w:pPr>
                    <w:jc w:val="center"/>
                    <w:rPr>
                      <w:sz w:val="21"/>
                      <w:szCs w:val="21"/>
                    </w:rPr>
                  </w:pPr>
                  <w:r>
                    <w:rPr>
                      <w:rFonts w:hint="eastAsia"/>
                      <w:sz w:val="21"/>
                      <w:szCs w:val="21"/>
                    </w:rPr>
                    <w:t>ug/m</w:t>
                  </w:r>
                  <w:r>
                    <w:rPr>
                      <w:rFonts w:hint="eastAsia"/>
                      <w:sz w:val="21"/>
                      <w:szCs w:val="21"/>
                      <w:vertAlign w:val="superscript"/>
                    </w:rPr>
                    <w:t>3</w:t>
                  </w:r>
                </w:p>
              </w:tc>
              <w:tc>
                <w:tcPr>
                  <w:tcW w:w="2189"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jc w:val="center"/>
                    <w:rPr>
                      <w:sz w:val="21"/>
                      <w:szCs w:val="21"/>
                    </w:rPr>
                  </w:pPr>
                  <w:r>
                    <w:rPr>
                      <w:sz w:val="21"/>
                      <w:szCs w:val="21"/>
                    </w:rPr>
                    <w:t>1小时平均</w:t>
                  </w:r>
                </w:p>
              </w:tc>
              <w:tc>
                <w:tcPr>
                  <w:tcW w:w="2012" w:type="dxa"/>
                  <w:vAlign w:val="center"/>
                </w:tcPr>
                <w:p>
                  <w:pPr>
                    <w:ind w:firstLine="210" w:firstLineChars="100"/>
                    <w:jc w:val="center"/>
                    <w:rPr>
                      <w:sz w:val="21"/>
                      <w:szCs w:val="21"/>
                    </w:rPr>
                  </w:pPr>
                  <w:r>
                    <w:rPr>
                      <w:sz w:val="21"/>
                      <w:szCs w:val="21"/>
                    </w:rPr>
                    <w:t>200</w:t>
                  </w:r>
                </w:p>
              </w:tc>
              <w:tc>
                <w:tcPr>
                  <w:tcW w:w="800" w:type="dxa"/>
                  <w:vMerge w:val="continue"/>
                  <w:vAlign w:val="center"/>
                </w:tcPr>
                <w:p>
                  <w:pPr>
                    <w:jc w:val="center"/>
                    <w:rPr>
                      <w:sz w:val="21"/>
                      <w:szCs w:val="21"/>
                    </w:rPr>
                  </w:pPr>
                </w:p>
              </w:tc>
              <w:tc>
                <w:tcPr>
                  <w:tcW w:w="2189"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颗粒物</w:t>
                  </w:r>
                </w:p>
                <w:p>
                  <w:pPr>
                    <w:autoSpaceDE w:val="0"/>
                    <w:autoSpaceDN w:val="0"/>
                    <w:adjustRightInd w:val="0"/>
                    <w:jc w:val="center"/>
                    <w:textAlignment w:val="baseline"/>
                    <w:rPr>
                      <w:sz w:val="21"/>
                      <w:szCs w:val="21"/>
                    </w:rPr>
                  </w:pPr>
                  <w:r>
                    <w:rPr>
                      <w:sz w:val="21"/>
                      <w:szCs w:val="21"/>
                    </w:rPr>
                    <w:t>(PM</w:t>
                  </w:r>
                  <w:r>
                    <w:rPr>
                      <w:sz w:val="21"/>
                      <w:szCs w:val="21"/>
                      <w:vertAlign w:val="subscript"/>
                    </w:rPr>
                    <w:t>10</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70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150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jc w:val="center"/>
                    <w:rPr>
                      <w:sz w:val="21"/>
                      <w:szCs w:val="21"/>
                    </w:rPr>
                  </w:pPr>
                  <w:r>
                    <w:rPr>
                      <w:sz w:val="21"/>
                      <w:szCs w:val="21"/>
                    </w:rPr>
                    <w:t>颗粒物</w:t>
                  </w:r>
                </w:p>
                <w:p>
                  <w:pPr>
                    <w:jc w:val="center"/>
                    <w:rPr>
                      <w:sz w:val="21"/>
                      <w:szCs w:val="21"/>
                    </w:rPr>
                  </w:pPr>
                  <w:r>
                    <w:rPr>
                      <w:sz w:val="21"/>
                      <w:szCs w:val="21"/>
                    </w:rPr>
                    <w:t>（PM</w:t>
                  </w:r>
                  <w:r>
                    <w:rPr>
                      <w:sz w:val="21"/>
                      <w:szCs w:val="21"/>
                      <w:vertAlign w:val="subscript"/>
                    </w:rPr>
                    <w:t>2.5</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35</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75</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Align w:val="center"/>
                </w:tcPr>
                <w:p>
                  <w:pPr>
                    <w:autoSpaceDE w:val="0"/>
                    <w:autoSpaceDN w:val="0"/>
                    <w:adjustRightInd w:val="0"/>
                    <w:jc w:val="center"/>
                    <w:textAlignment w:val="baseline"/>
                    <w:rPr>
                      <w:sz w:val="21"/>
                      <w:szCs w:val="21"/>
                    </w:rPr>
                  </w:pPr>
                  <w:r>
                    <w:rPr>
                      <w:rFonts w:hint="eastAsia"/>
                      <w:sz w:val="21"/>
                      <w:szCs w:val="21"/>
                    </w:rPr>
                    <w:t>氨（NH</w:t>
                  </w:r>
                  <w:r>
                    <w:rPr>
                      <w:rFonts w:hint="eastAsia"/>
                      <w:sz w:val="21"/>
                      <w:szCs w:val="21"/>
                      <w:vertAlign w:val="subscript"/>
                    </w:rPr>
                    <w:t>3</w:t>
                  </w:r>
                  <w:r>
                    <w:rPr>
                      <w:rFonts w:hint="eastAsia"/>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200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restart"/>
                  <w:vAlign w:val="center"/>
                </w:tcPr>
                <w:p>
                  <w:pPr>
                    <w:autoSpaceDE w:val="0"/>
                    <w:autoSpaceDN w:val="0"/>
                    <w:adjustRightInd w:val="0"/>
                    <w:ind w:firstLine="210" w:firstLineChars="100"/>
                    <w:jc w:val="center"/>
                    <w:textAlignment w:val="baseline"/>
                    <w:rPr>
                      <w:sz w:val="21"/>
                      <w:szCs w:val="21"/>
                    </w:rPr>
                  </w:pPr>
                  <w:r>
                    <w:rPr>
                      <w:rFonts w:hint="eastAsia" w:cs="宋体"/>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Align w:val="center"/>
                </w:tcPr>
                <w:p>
                  <w:pPr>
                    <w:autoSpaceDE w:val="0"/>
                    <w:autoSpaceDN w:val="0"/>
                    <w:adjustRightInd w:val="0"/>
                    <w:jc w:val="center"/>
                    <w:textAlignment w:val="baseline"/>
                    <w:rPr>
                      <w:sz w:val="21"/>
                      <w:szCs w:val="21"/>
                    </w:rPr>
                  </w:pPr>
                  <w:r>
                    <w:rPr>
                      <w:rFonts w:hint="eastAsia"/>
                      <w:sz w:val="21"/>
                      <w:szCs w:val="21"/>
                    </w:rPr>
                    <w:t>硫化氢（H</w:t>
                  </w:r>
                  <w:r>
                    <w:rPr>
                      <w:rFonts w:hint="eastAsia"/>
                      <w:sz w:val="21"/>
                      <w:szCs w:val="21"/>
                      <w:vertAlign w:val="subscript"/>
                    </w:rPr>
                    <w:t>2</w:t>
                  </w:r>
                  <w:r>
                    <w:rPr>
                      <w:rFonts w:hint="eastAsia"/>
                      <w:sz w:val="21"/>
                      <w:szCs w:val="21"/>
                    </w:rPr>
                    <w:t>S）</w:t>
                  </w:r>
                </w:p>
              </w:tc>
              <w:tc>
                <w:tcPr>
                  <w:tcW w:w="1875"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1</w:t>
                  </w:r>
                  <w:r>
                    <w:rPr>
                      <w:sz w:val="21"/>
                      <w:szCs w:val="21"/>
                    </w:rPr>
                    <w:t>小时平均</w:t>
                  </w:r>
                </w:p>
              </w:tc>
              <w:tc>
                <w:tcPr>
                  <w:tcW w:w="2012"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10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bl>
          <w:p>
            <w:pPr>
              <w:adjustRightInd w:val="0"/>
              <w:snapToGrid w:val="0"/>
              <w:spacing w:beforeLines="50" w:line="360" w:lineRule="auto"/>
              <w:ind w:firstLine="482" w:firstLineChars="200"/>
              <w:rPr>
                <w:b/>
                <w:szCs w:val="24"/>
              </w:rPr>
            </w:pPr>
            <w:r>
              <w:rPr>
                <w:rFonts w:hint="eastAsia"/>
                <w:b/>
                <w:szCs w:val="24"/>
              </w:rPr>
              <w:t>3</w:t>
            </w:r>
            <w:r>
              <w:rPr>
                <w:b/>
                <w:szCs w:val="24"/>
              </w:rPr>
              <w:t>、声环境</w:t>
            </w:r>
          </w:p>
          <w:p>
            <w:pPr>
              <w:adjustRightInd w:val="0"/>
              <w:snapToGrid w:val="0"/>
              <w:spacing w:line="360" w:lineRule="auto"/>
              <w:ind w:firstLine="480" w:firstLineChars="200"/>
              <w:rPr>
                <w:b/>
                <w:szCs w:val="21"/>
              </w:rPr>
            </w:pPr>
            <w:r>
              <w:rPr>
                <w:rFonts w:hint="eastAsia"/>
              </w:rPr>
              <w:t>本项目位于云南省大理州洱源县，涉及洱源县的</w:t>
            </w:r>
            <w:r>
              <w:t>牛街乡、三营镇、茈碧湖镇、右所镇</w:t>
            </w:r>
            <w:r>
              <w:rPr>
                <w:rFonts w:hint="eastAsia"/>
              </w:rPr>
              <w:t>、</w:t>
            </w:r>
            <w:r>
              <w:t>邓川镇</w:t>
            </w:r>
            <w:r>
              <w:rPr>
                <w:rFonts w:hint="eastAsia"/>
              </w:rPr>
              <w:t>和凤羽镇6</w:t>
            </w:r>
            <w:r>
              <w:t>个乡镇行政区范围</w:t>
            </w:r>
            <w:r>
              <w:rPr>
                <w:rFonts w:hint="eastAsia"/>
              </w:rPr>
              <w:t>，属于农村地区。</w:t>
            </w:r>
            <w:r>
              <w:rPr>
                <w:szCs w:val="24"/>
              </w:rPr>
              <w:t>区域声环境</w:t>
            </w:r>
            <w:r>
              <w:rPr>
                <w:rFonts w:hint="eastAsia"/>
                <w:szCs w:val="24"/>
              </w:rPr>
              <w:t>参照</w:t>
            </w:r>
            <w:r>
              <w:rPr>
                <w:szCs w:val="24"/>
              </w:rPr>
              <w:t>执行《声环境质量标准》（GB 3096-2008）</w:t>
            </w:r>
            <w:r>
              <w:rPr>
                <w:rFonts w:hint="eastAsia"/>
                <w:szCs w:val="24"/>
              </w:rPr>
              <w:t>2</w:t>
            </w:r>
            <w:r>
              <w:rPr>
                <w:szCs w:val="24"/>
              </w:rPr>
              <w:t>类标准，</w:t>
            </w:r>
            <w:r>
              <w:rPr>
                <w:rFonts w:hint="eastAsia"/>
                <w:szCs w:val="24"/>
              </w:rPr>
              <w:t>具体</w:t>
            </w:r>
            <w:r>
              <w:rPr>
                <w:szCs w:val="24"/>
              </w:rPr>
              <w:t>标准限值见表</w:t>
            </w:r>
            <w:r>
              <w:rPr>
                <w:rFonts w:hint="eastAsia"/>
                <w:szCs w:val="24"/>
              </w:rPr>
              <w:t>4-</w:t>
            </w:r>
            <w:r>
              <w:rPr>
                <w:szCs w:val="24"/>
              </w:rPr>
              <w:t>3</w:t>
            </w:r>
            <w:r>
              <w:rPr>
                <w:rFonts w:hint="eastAsia"/>
                <w:szCs w:val="24"/>
              </w:rPr>
              <w:t>。</w:t>
            </w:r>
          </w:p>
          <w:p>
            <w:pPr>
              <w:adjustRightInd w:val="0"/>
              <w:snapToGrid w:val="0"/>
              <w:spacing w:line="360" w:lineRule="auto"/>
              <w:ind w:firstLine="422" w:firstLineChars="200"/>
              <w:jc w:val="center"/>
              <w:rPr>
                <w:b/>
                <w:sz w:val="21"/>
                <w:szCs w:val="21"/>
              </w:rPr>
            </w:pPr>
            <w:r>
              <w:rPr>
                <w:b/>
                <w:sz w:val="21"/>
                <w:szCs w:val="21"/>
              </w:rPr>
              <w:t>表</w:t>
            </w:r>
            <w:r>
              <w:rPr>
                <w:rFonts w:hint="eastAsia"/>
                <w:b/>
                <w:sz w:val="21"/>
                <w:szCs w:val="21"/>
              </w:rPr>
              <w:t>4-</w:t>
            </w:r>
            <w:r>
              <w:rPr>
                <w:b/>
                <w:sz w:val="21"/>
                <w:szCs w:val="21"/>
              </w:rPr>
              <w:t xml:space="preserve">3  声环境质量标准限值  </w:t>
            </w:r>
            <w:r>
              <w:rPr>
                <w:rFonts w:hint="eastAsia"/>
                <w:b/>
                <w:sz w:val="21"/>
                <w:szCs w:val="21"/>
              </w:rPr>
              <w:t xml:space="preserve"> </w:t>
            </w:r>
            <w:r>
              <w:rPr>
                <w:b/>
                <w:sz w:val="21"/>
                <w:szCs w:val="21"/>
              </w:rPr>
              <w:t>单位：dB(A)</w:t>
            </w:r>
          </w:p>
          <w:tbl>
            <w:tblPr>
              <w:tblStyle w:val="3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80"/>
              <w:gridCol w:w="2666"/>
              <w:gridCol w:w="28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exact"/>
                <w:jc w:val="center"/>
              </w:trPr>
              <w:tc>
                <w:tcPr>
                  <w:tcW w:w="2280" w:type="dxa"/>
                  <w:vAlign w:val="center"/>
                </w:tcPr>
                <w:p>
                  <w:pPr>
                    <w:jc w:val="center"/>
                    <w:rPr>
                      <w:b/>
                      <w:bCs/>
                      <w:sz w:val="21"/>
                      <w:szCs w:val="21"/>
                    </w:rPr>
                  </w:pPr>
                  <w:r>
                    <w:rPr>
                      <w:b/>
                      <w:bCs/>
                      <w:sz w:val="21"/>
                      <w:szCs w:val="21"/>
                    </w:rPr>
                    <w:t>声环境功能区类别</w:t>
                  </w:r>
                </w:p>
              </w:tc>
              <w:tc>
                <w:tcPr>
                  <w:tcW w:w="2666" w:type="dxa"/>
                  <w:vAlign w:val="center"/>
                </w:tcPr>
                <w:p>
                  <w:pPr>
                    <w:jc w:val="center"/>
                    <w:rPr>
                      <w:b/>
                      <w:bCs/>
                      <w:sz w:val="21"/>
                      <w:szCs w:val="21"/>
                    </w:rPr>
                  </w:pPr>
                  <w:r>
                    <w:rPr>
                      <w:b/>
                      <w:bCs/>
                      <w:sz w:val="21"/>
                      <w:szCs w:val="21"/>
                    </w:rPr>
                    <w:t>昼间</w:t>
                  </w:r>
                </w:p>
              </w:tc>
              <w:tc>
                <w:tcPr>
                  <w:tcW w:w="2861" w:type="dxa"/>
                  <w:vAlign w:val="center"/>
                </w:tcPr>
                <w:p>
                  <w:pPr>
                    <w:jc w:val="center"/>
                    <w:rPr>
                      <w:b/>
                      <w:bCs/>
                      <w:sz w:val="21"/>
                      <w:szCs w:val="21"/>
                    </w:rPr>
                  </w:pPr>
                  <w:r>
                    <w:rPr>
                      <w:b/>
                      <w:bCs/>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exact"/>
                <w:jc w:val="center"/>
              </w:trPr>
              <w:tc>
                <w:tcPr>
                  <w:tcW w:w="2280" w:type="dxa"/>
                  <w:vAlign w:val="center"/>
                </w:tcPr>
                <w:p>
                  <w:pPr>
                    <w:jc w:val="center"/>
                    <w:rPr>
                      <w:sz w:val="21"/>
                      <w:szCs w:val="21"/>
                    </w:rPr>
                  </w:pPr>
                  <w:r>
                    <w:rPr>
                      <w:rFonts w:hint="eastAsia"/>
                      <w:sz w:val="21"/>
                      <w:szCs w:val="21"/>
                    </w:rPr>
                    <w:t>2</w:t>
                  </w:r>
                  <w:r>
                    <w:rPr>
                      <w:sz w:val="21"/>
                      <w:szCs w:val="21"/>
                    </w:rPr>
                    <w:t>类</w:t>
                  </w:r>
                </w:p>
              </w:tc>
              <w:tc>
                <w:tcPr>
                  <w:tcW w:w="2666" w:type="dxa"/>
                  <w:vAlign w:val="center"/>
                </w:tcPr>
                <w:p>
                  <w:pPr>
                    <w:jc w:val="center"/>
                    <w:rPr>
                      <w:sz w:val="21"/>
                      <w:szCs w:val="21"/>
                    </w:rPr>
                  </w:pPr>
                  <w:r>
                    <w:rPr>
                      <w:sz w:val="21"/>
                      <w:szCs w:val="21"/>
                    </w:rPr>
                    <w:t>6</w:t>
                  </w:r>
                  <w:r>
                    <w:rPr>
                      <w:rFonts w:hint="eastAsia"/>
                      <w:sz w:val="21"/>
                      <w:szCs w:val="21"/>
                    </w:rPr>
                    <w:t>0</w:t>
                  </w:r>
                </w:p>
              </w:tc>
              <w:tc>
                <w:tcPr>
                  <w:tcW w:w="2861" w:type="dxa"/>
                  <w:vAlign w:val="center"/>
                </w:tcPr>
                <w:p>
                  <w:pPr>
                    <w:jc w:val="center"/>
                    <w:rPr>
                      <w:sz w:val="21"/>
                      <w:szCs w:val="21"/>
                    </w:rPr>
                  </w:pPr>
                  <w:r>
                    <w:rPr>
                      <w:sz w:val="21"/>
                      <w:szCs w:val="21"/>
                    </w:rPr>
                    <w:t>5</w:t>
                  </w:r>
                  <w:r>
                    <w:rPr>
                      <w:rFonts w:hint="eastAsia"/>
                      <w:sz w:val="21"/>
                      <w:szCs w:val="21"/>
                    </w:rPr>
                    <w:t>0</w:t>
                  </w:r>
                </w:p>
              </w:tc>
            </w:tr>
          </w:tbl>
          <w:p>
            <w:pPr>
              <w:pStyle w:val="101"/>
              <w:spacing w:beforeLines="100" w:line="360" w:lineRule="auto"/>
              <w:ind w:firstLine="482"/>
              <w:rPr>
                <w:rFonts w:ascii="Times New Roman" w:hAnsi="Times New Roman" w:eastAsia="宋体"/>
                <w:b/>
                <w:bCs/>
                <w:color w:val="000000"/>
                <w:sz w:val="24"/>
              </w:rPr>
            </w:pPr>
            <w:r>
              <w:rPr>
                <w:rFonts w:hint="eastAsia" w:ascii="Times New Roman" w:hAnsi="Times New Roman" w:eastAsia="宋体"/>
                <w:b/>
                <w:bCs/>
                <w:color w:val="000000"/>
                <w:sz w:val="24"/>
              </w:rPr>
              <w:t>4、</w:t>
            </w:r>
            <w:r>
              <w:rPr>
                <w:rFonts w:ascii="Times New Roman" w:hAnsi="Times New Roman" w:eastAsia="宋体"/>
                <w:b/>
                <w:bCs/>
                <w:color w:val="000000"/>
                <w:sz w:val="24"/>
              </w:rPr>
              <w:t>地下水</w:t>
            </w:r>
          </w:p>
          <w:p>
            <w:pPr>
              <w:pStyle w:val="101"/>
              <w:spacing w:beforeLines="0" w:line="360" w:lineRule="auto"/>
              <w:rPr>
                <w:rFonts w:ascii="Times New Roman" w:hAnsi="Times New Roman" w:eastAsia="宋体"/>
                <w:color w:val="000000"/>
                <w:sz w:val="24"/>
              </w:rPr>
            </w:pPr>
            <w:r>
              <w:rPr>
                <w:rFonts w:ascii="Times New Roman" w:hAnsi="Times New Roman" w:eastAsia="宋体"/>
                <w:color w:val="000000"/>
                <w:sz w:val="24"/>
              </w:rPr>
              <w:t>项目区域地</w:t>
            </w:r>
            <w:r>
              <w:rPr>
                <w:rFonts w:hint="eastAsia" w:ascii="Times New Roman" w:hAnsi="Times New Roman" w:eastAsia="宋体"/>
                <w:color w:val="000000"/>
                <w:sz w:val="24"/>
              </w:rPr>
              <w:t>的</w:t>
            </w:r>
            <w:r>
              <w:rPr>
                <w:rFonts w:ascii="Times New Roman" w:hAnsi="Times New Roman" w:eastAsia="宋体"/>
                <w:color w:val="000000"/>
                <w:sz w:val="24"/>
              </w:rPr>
              <w:t>下水执行《地下水质量标准》</w:t>
            </w:r>
            <w:r>
              <w:rPr>
                <w:rFonts w:hint="eastAsia" w:ascii="Times New Roman" w:hAnsi="Times New Roman" w:eastAsia="宋体"/>
                <w:color w:val="000000"/>
                <w:sz w:val="24"/>
              </w:rPr>
              <w:t>(</w:t>
            </w:r>
            <w:r>
              <w:rPr>
                <w:rFonts w:ascii="Times New Roman" w:hAnsi="Times New Roman" w:eastAsia="宋体"/>
                <w:color w:val="000000"/>
                <w:sz w:val="24"/>
              </w:rPr>
              <w:t>GB/T14848-2017</w:t>
            </w:r>
            <w:r>
              <w:rPr>
                <w:rFonts w:hint="eastAsia" w:ascii="Times New Roman" w:hAnsi="Times New Roman" w:eastAsia="宋体"/>
                <w:color w:val="000000"/>
                <w:sz w:val="24"/>
              </w:rPr>
              <w:t>)</w:t>
            </w: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 3 \* ROMAN \* MERGEFORMAT </w:instrText>
            </w:r>
            <w:r>
              <w:rPr>
                <w:rFonts w:ascii="Times New Roman" w:hAnsi="Times New Roman" w:eastAsia="宋体"/>
                <w:color w:val="000000"/>
                <w:sz w:val="24"/>
              </w:rPr>
              <w:fldChar w:fldCharType="separate"/>
            </w:r>
            <w:r>
              <w:rPr>
                <w:rFonts w:ascii="Times New Roman" w:hAnsi="Times New Roman" w:eastAsia="宋体"/>
                <w:color w:val="000000"/>
                <w:sz w:val="24"/>
              </w:rPr>
              <w:t>III</w:t>
            </w:r>
            <w:r>
              <w:rPr>
                <w:rFonts w:ascii="Times New Roman" w:hAnsi="Times New Roman" w:eastAsia="宋体"/>
                <w:color w:val="000000"/>
                <w:sz w:val="24"/>
              </w:rPr>
              <w:fldChar w:fldCharType="end"/>
            </w:r>
            <w:r>
              <w:rPr>
                <w:rFonts w:ascii="Times New Roman" w:hAnsi="Times New Roman" w:eastAsia="宋体"/>
                <w:color w:val="000000"/>
                <w:sz w:val="24"/>
              </w:rPr>
              <w:t>类标准，见</w:t>
            </w:r>
            <w:r>
              <w:rPr>
                <w:rFonts w:hint="eastAsia" w:ascii="Times New Roman" w:hAnsi="Times New Roman" w:eastAsia="宋体"/>
                <w:color w:val="000000"/>
                <w:sz w:val="24"/>
              </w:rPr>
              <w:t>下</w:t>
            </w:r>
            <w:r>
              <w:rPr>
                <w:rFonts w:ascii="Times New Roman" w:hAnsi="Times New Roman" w:eastAsia="宋体"/>
                <w:color w:val="000000"/>
                <w:sz w:val="24"/>
              </w:rPr>
              <w:t>表</w:t>
            </w:r>
            <w:r>
              <w:rPr>
                <w:rFonts w:hint="eastAsia" w:ascii="Times New Roman" w:hAnsi="Times New Roman" w:eastAsia="宋体"/>
                <w:color w:val="000000"/>
                <w:sz w:val="24"/>
              </w:rPr>
              <w:t>：</w:t>
            </w:r>
          </w:p>
          <w:p>
            <w:pPr>
              <w:jc w:val="center"/>
              <w:rPr>
                <w:b/>
                <w:color w:val="000000"/>
                <w:sz w:val="21"/>
              </w:rPr>
            </w:pPr>
            <w:r>
              <w:rPr>
                <w:b/>
                <w:color w:val="000000"/>
                <w:sz w:val="21"/>
              </w:rPr>
              <w:t>表</w:t>
            </w:r>
            <w:r>
              <w:rPr>
                <w:rFonts w:hint="eastAsia"/>
                <w:b/>
                <w:color w:val="000000"/>
                <w:sz w:val="21"/>
              </w:rPr>
              <w:t>4-4</w:t>
            </w:r>
            <w:r>
              <w:rPr>
                <w:b/>
                <w:color w:val="000000"/>
                <w:sz w:val="21"/>
              </w:rPr>
              <w:t xml:space="preserve">  地下水质量标准限值  单位：mg/L</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9"/>
              <w:gridCol w:w="1070"/>
              <w:gridCol w:w="1216"/>
              <w:gridCol w:w="1396"/>
              <w:gridCol w:w="763"/>
              <w:gridCol w:w="144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b/>
                      <w:bCs/>
                      <w:color w:val="000000"/>
                      <w:sz w:val="21"/>
                    </w:rPr>
                    <w:t>pH</w:t>
                  </w:r>
                </w:p>
              </w:tc>
              <w:tc>
                <w:tcPr>
                  <w:tcW w:w="1216" w:type="dxa"/>
                  <w:vAlign w:val="center"/>
                </w:tcPr>
                <w:p>
                  <w:pPr>
                    <w:widowControl/>
                    <w:jc w:val="center"/>
                    <w:rPr>
                      <w:b/>
                      <w:bCs/>
                      <w:color w:val="000000"/>
                      <w:sz w:val="21"/>
                    </w:rPr>
                  </w:pPr>
                  <w:r>
                    <w:rPr>
                      <w:rFonts w:hint="eastAsia"/>
                      <w:b/>
                      <w:bCs/>
                      <w:color w:val="000000"/>
                      <w:sz w:val="21"/>
                    </w:rPr>
                    <w:t>总硬度</w:t>
                  </w:r>
                </w:p>
              </w:tc>
              <w:tc>
                <w:tcPr>
                  <w:tcW w:w="1396" w:type="dxa"/>
                  <w:vAlign w:val="center"/>
                </w:tcPr>
                <w:p>
                  <w:pPr>
                    <w:widowControl/>
                    <w:jc w:val="center"/>
                    <w:rPr>
                      <w:b/>
                      <w:bCs/>
                      <w:color w:val="000000"/>
                      <w:sz w:val="21"/>
                    </w:rPr>
                  </w:pPr>
                  <w:r>
                    <w:rPr>
                      <w:rFonts w:hint="eastAsia"/>
                      <w:b/>
                      <w:bCs/>
                      <w:color w:val="000000"/>
                      <w:sz w:val="21"/>
                    </w:rPr>
                    <w:t>溶解性总固体</w:t>
                  </w:r>
                </w:p>
              </w:tc>
              <w:tc>
                <w:tcPr>
                  <w:tcW w:w="763" w:type="dxa"/>
                  <w:vAlign w:val="center"/>
                </w:tcPr>
                <w:p>
                  <w:pPr>
                    <w:widowControl/>
                    <w:jc w:val="center"/>
                    <w:rPr>
                      <w:b/>
                      <w:bCs/>
                      <w:color w:val="000000"/>
                      <w:sz w:val="21"/>
                    </w:rPr>
                  </w:pPr>
                  <w:r>
                    <w:rPr>
                      <w:rFonts w:hint="eastAsia"/>
                      <w:b/>
                      <w:bCs/>
                      <w:color w:val="000000"/>
                      <w:sz w:val="21"/>
                    </w:rPr>
                    <w:t>硫酸盐</w:t>
                  </w:r>
                </w:p>
              </w:tc>
              <w:tc>
                <w:tcPr>
                  <w:tcW w:w="1443" w:type="dxa"/>
                  <w:vAlign w:val="center"/>
                </w:tcPr>
                <w:p>
                  <w:pPr>
                    <w:widowControl/>
                    <w:jc w:val="center"/>
                    <w:rPr>
                      <w:b/>
                      <w:bCs/>
                      <w:color w:val="000000"/>
                      <w:sz w:val="21"/>
                    </w:rPr>
                  </w:pPr>
                  <w:r>
                    <w:rPr>
                      <w:rFonts w:hint="eastAsia"/>
                      <w:b/>
                      <w:bCs/>
                      <w:color w:val="000000"/>
                      <w:sz w:val="21"/>
                    </w:rPr>
                    <w:t>氯化物</w:t>
                  </w:r>
                </w:p>
              </w:tc>
              <w:tc>
                <w:tcPr>
                  <w:tcW w:w="1036" w:type="dxa"/>
                  <w:vAlign w:val="center"/>
                </w:tcPr>
                <w:p>
                  <w:pPr>
                    <w:widowControl/>
                    <w:jc w:val="center"/>
                    <w:rPr>
                      <w:b/>
                      <w:bCs/>
                      <w:color w:val="000000"/>
                      <w:sz w:val="21"/>
                    </w:rPr>
                  </w:pPr>
                  <w:r>
                    <w:rPr>
                      <w:rFonts w:hint="eastAsia"/>
                      <w:b/>
                      <w:bCs/>
                      <w:color w:val="000000"/>
                      <w:sz w:val="21"/>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39" w:type="dxa"/>
                  <w:vAlign w:val="center"/>
                </w:tcPr>
                <w:p>
                  <w:pPr>
                    <w:widowControl/>
                    <w:jc w:val="center"/>
                    <w:rPr>
                      <w:color w:val="000000"/>
                      <w:sz w:val="21"/>
                    </w:rPr>
                  </w:pPr>
                  <w:r>
                    <w:rPr>
                      <w:color w:val="000000"/>
                      <w:sz w:val="21"/>
                    </w:rPr>
                    <w:t>III类标准</w:t>
                  </w:r>
                </w:p>
              </w:tc>
              <w:tc>
                <w:tcPr>
                  <w:tcW w:w="1070" w:type="dxa"/>
                  <w:vAlign w:val="center"/>
                </w:tcPr>
                <w:p>
                  <w:pPr>
                    <w:widowControl/>
                    <w:jc w:val="center"/>
                    <w:rPr>
                      <w:color w:val="000000"/>
                      <w:sz w:val="21"/>
                    </w:rPr>
                  </w:pPr>
                  <w:r>
                    <w:rPr>
                      <w:color w:val="000000"/>
                      <w:sz w:val="21"/>
                    </w:rPr>
                    <w:t>6.5~8.5</w:t>
                  </w:r>
                </w:p>
              </w:tc>
              <w:tc>
                <w:tcPr>
                  <w:tcW w:w="1216" w:type="dxa"/>
                  <w:vAlign w:val="center"/>
                </w:tcPr>
                <w:p>
                  <w:pPr>
                    <w:widowControl/>
                    <w:jc w:val="center"/>
                    <w:rPr>
                      <w:color w:val="000000"/>
                      <w:sz w:val="21"/>
                    </w:rPr>
                  </w:pPr>
                  <w:r>
                    <w:rPr>
                      <w:rFonts w:hint="eastAsia"/>
                      <w:color w:val="000000"/>
                      <w:sz w:val="21"/>
                    </w:rPr>
                    <w:t>≤450</w:t>
                  </w:r>
                </w:p>
              </w:tc>
              <w:tc>
                <w:tcPr>
                  <w:tcW w:w="1396" w:type="dxa"/>
                  <w:vAlign w:val="center"/>
                </w:tcPr>
                <w:p>
                  <w:pPr>
                    <w:widowControl/>
                    <w:jc w:val="center"/>
                    <w:rPr>
                      <w:color w:val="000000"/>
                      <w:sz w:val="21"/>
                    </w:rPr>
                  </w:pPr>
                  <w:r>
                    <w:rPr>
                      <w:rFonts w:hint="eastAsia"/>
                      <w:color w:val="000000"/>
                      <w:sz w:val="21"/>
                    </w:rPr>
                    <w:t>≤1000</w:t>
                  </w:r>
                </w:p>
              </w:tc>
              <w:tc>
                <w:tcPr>
                  <w:tcW w:w="763" w:type="dxa"/>
                  <w:vAlign w:val="center"/>
                </w:tcPr>
                <w:p>
                  <w:pPr>
                    <w:widowControl/>
                    <w:jc w:val="center"/>
                    <w:rPr>
                      <w:color w:val="000000"/>
                      <w:sz w:val="21"/>
                    </w:rPr>
                  </w:pPr>
                  <w:r>
                    <w:rPr>
                      <w:rFonts w:hint="eastAsia"/>
                      <w:color w:val="000000"/>
                      <w:sz w:val="21"/>
                    </w:rPr>
                    <w:t>≤250</w:t>
                  </w:r>
                </w:p>
              </w:tc>
              <w:tc>
                <w:tcPr>
                  <w:tcW w:w="1443" w:type="dxa"/>
                  <w:vAlign w:val="center"/>
                </w:tcPr>
                <w:p>
                  <w:pPr>
                    <w:widowControl/>
                    <w:jc w:val="center"/>
                    <w:rPr>
                      <w:color w:val="000000"/>
                      <w:sz w:val="21"/>
                    </w:rPr>
                  </w:pPr>
                  <w:r>
                    <w:rPr>
                      <w:rFonts w:hint="eastAsia"/>
                      <w:color w:val="000000"/>
                      <w:sz w:val="21"/>
                    </w:rPr>
                    <w:t>≤250</w:t>
                  </w:r>
                </w:p>
              </w:tc>
              <w:tc>
                <w:tcPr>
                  <w:tcW w:w="1036"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rFonts w:hint="eastAsia"/>
                      <w:b/>
                      <w:bCs/>
                      <w:color w:val="000000"/>
                      <w:sz w:val="21"/>
                    </w:rPr>
                    <w:t>Mu</w:t>
                  </w:r>
                </w:p>
              </w:tc>
              <w:tc>
                <w:tcPr>
                  <w:tcW w:w="1216" w:type="dxa"/>
                  <w:vAlign w:val="center"/>
                </w:tcPr>
                <w:p>
                  <w:pPr>
                    <w:widowControl/>
                    <w:jc w:val="center"/>
                    <w:rPr>
                      <w:b/>
                      <w:bCs/>
                      <w:color w:val="000000"/>
                      <w:sz w:val="21"/>
                    </w:rPr>
                  </w:pPr>
                  <w:r>
                    <w:rPr>
                      <w:rFonts w:hint="eastAsia"/>
                      <w:b/>
                      <w:bCs/>
                      <w:color w:val="000000"/>
                      <w:sz w:val="21"/>
                    </w:rPr>
                    <w:t>挥发性酚类</w:t>
                  </w:r>
                </w:p>
              </w:tc>
              <w:tc>
                <w:tcPr>
                  <w:tcW w:w="1396" w:type="dxa"/>
                  <w:vAlign w:val="center"/>
                </w:tcPr>
                <w:p>
                  <w:pPr>
                    <w:widowControl/>
                    <w:jc w:val="center"/>
                    <w:rPr>
                      <w:b/>
                      <w:bCs/>
                      <w:color w:val="000000"/>
                      <w:sz w:val="21"/>
                    </w:rPr>
                  </w:pPr>
                  <w:r>
                    <w:rPr>
                      <w:rFonts w:hint="eastAsia"/>
                      <w:b/>
                      <w:bCs/>
                      <w:color w:val="000000"/>
                      <w:sz w:val="21"/>
                    </w:rPr>
                    <w:t>高锰酸盐指数</w:t>
                  </w:r>
                </w:p>
              </w:tc>
              <w:tc>
                <w:tcPr>
                  <w:tcW w:w="763" w:type="dxa"/>
                  <w:vAlign w:val="center"/>
                </w:tcPr>
                <w:p>
                  <w:pPr>
                    <w:widowControl/>
                    <w:jc w:val="center"/>
                    <w:rPr>
                      <w:b/>
                      <w:bCs/>
                      <w:color w:val="000000"/>
                      <w:sz w:val="21"/>
                    </w:rPr>
                  </w:pPr>
                  <w:r>
                    <w:rPr>
                      <w:rFonts w:hint="eastAsia"/>
                      <w:b/>
                      <w:bCs/>
                      <w:color w:val="000000"/>
                      <w:sz w:val="21"/>
                    </w:rPr>
                    <w:t>硝酸盐</w:t>
                  </w:r>
                </w:p>
              </w:tc>
              <w:tc>
                <w:tcPr>
                  <w:tcW w:w="1443" w:type="dxa"/>
                  <w:vAlign w:val="center"/>
                </w:tcPr>
                <w:p>
                  <w:pPr>
                    <w:widowControl/>
                    <w:jc w:val="center"/>
                    <w:rPr>
                      <w:b/>
                      <w:bCs/>
                      <w:color w:val="000000"/>
                      <w:sz w:val="21"/>
                    </w:rPr>
                  </w:pPr>
                  <w:r>
                    <w:rPr>
                      <w:rFonts w:hint="eastAsia"/>
                      <w:b/>
                      <w:bCs/>
                      <w:color w:val="000000"/>
                      <w:sz w:val="21"/>
                    </w:rPr>
                    <w:t>亚硝酸盐</w:t>
                  </w:r>
                </w:p>
              </w:tc>
              <w:tc>
                <w:tcPr>
                  <w:tcW w:w="1036" w:type="dxa"/>
                  <w:vAlign w:val="center"/>
                </w:tcPr>
                <w:p>
                  <w:pPr>
                    <w:widowControl/>
                    <w:jc w:val="center"/>
                    <w:rPr>
                      <w:b/>
                      <w:bCs/>
                      <w:color w:val="000000"/>
                      <w:sz w:val="21"/>
                    </w:rPr>
                  </w:pPr>
                  <w:r>
                    <w:rPr>
                      <w:b/>
                      <w:bCs/>
                      <w:color w:val="000000"/>
                      <w:sz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color w:val="000000"/>
                      <w:sz w:val="21"/>
                    </w:rPr>
                  </w:pPr>
                  <w:r>
                    <w:rPr>
                      <w:color w:val="000000"/>
                      <w:sz w:val="21"/>
                    </w:rPr>
                    <w:t>III类标准</w:t>
                  </w:r>
                </w:p>
              </w:tc>
              <w:tc>
                <w:tcPr>
                  <w:tcW w:w="1070"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1</w:t>
                  </w:r>
                </w:p>
              </w:tc>
              <w:tc>
                <w:tcPr>
                  <w:tcW w:w="1216" w:type="dxa"/>
                  <w:vAlign w:val="center"/>
                </w:tcPr>
                <w:p>
                  <w:pPr>
                    <w:widowControl/>
                    <w:jc w:val="center"/>
                    <w:rPr>
                      <w:color w:val="000000"/>
                      <w:sz w:val="21"/>
                    </w:rPr>
                  </w:pPr>
                  <w:r>
                    <w:rPr>
                      <w:rFonts w:hint="eastAsia"/>
                      <w:color w:val="000000"/>
                      <w:sz w:val="21"/>
                    </w:rPr>
                    <w:t>≤0.002</w:t>
                  </w:r>
                </w:p>
              </w:tc>
              <w:tc>
                <w:tcPr>
                  <w:tcW w:w="1396" w:type="dxa"/>
                  <w:vAlign w:val="center"/>
                </w:tcPr>
                <w:p>
                  <w:pPr>
                    <w:widowControl/>
                    <w:jc w:val="center"/>
                    <w:rPr>
                      <w:color w:val="000000"/>
                      <w:sz w:val="21"/>
                    </w:rPr>
                  </w:pPr>
                  <w:r>
                    <w:rPr>
                      <w:rFonts w:hint="eastAsia"/>
                      <w:color w:val="000000"/>
                      <w:sz w:val="21"/>
                    </w:rPr>
                    <w:t>≤3.0</w:t>
                  </w:r>
                </w:p>
              </w:tc>
              <w:tc>
                <w:tcPr>
                  <w:tcW w:w="763" w:type="dxa"/>
                  <w:vAlign w:val="center"/>
                </w:tcPr>
                <w:p>
                  <w:pPr>
                    <w:widowControl/>
                    <w:jc w:val="center"/>
                    <w:rPr>
                      <w:color w:val="000000"/>
                      <w:sz w:val="21"/>
                    </w:rPr>
                  </w:pPr>
                  <w:r>
                    <w:rPr>
                      <w:rFonts w:hint="eastAsia"/>
                      <w:color w:val="000000"/>
                      <w:sz w:val="21"/>
                    </w:rPr>
                    <w:t>≤20</w:t>
                  </w:r>
                </w:p>
              </w:tc>
              <w:tc>
                <w:tcPr>
                  <w:tcW w:w="1443" w:type="dxa"/>
                  <w:vAlign w:val="center"/>
                </w:tcPr>
                <w:p>
                  <w:pPr>
                    <w:widowControl/>
                    <w:jc w:val="center"/>
                    <w:rPr>
                      <w:color w:val="000000"/>
                      <w:sz w:val="21"/>
                    </w:rPr>
                  </w:pPr>
                  <w:r>
                    <w:rPr>
                      <w:rFonts w:hint="eastAsia"/>
                      <w:color w:val="000000"/>
                      <w:sz w:val="21"/>
                    </w:rPr>
                    <w:t>≤1.0</w:t>
                  </w:r>
                </w:p>
              </w:tc>
              <w:tc>
                <w:tcPr>
                  <w:tcW w:w="1036"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rFonts w:hint="eastAsia"/>
                      <w:b/>
                      <w:bCs/>
                      <w:color w:val="000000"/>
                      <w:sz w:val="21"/>
                    </w:rPr>
                    <w:t>氟化物</w:t>
                  </w:r>
                </w:p>
              </w:tc>
              <w:tc>
                <w:tcPr>
                  <w:tcW w:w="1216" w:type="dxa"/>
                  <w:vAlign w:val="center"/>
                </w:tcPr>
                <w:p>
                  <w:pPr>
                    <w:widowControl/>
                    <w:jc w:val="center"/>
                    <w:rPr>
                      <w:b/>
                      <w:bCs/>
                      <w:color w:val="000000"/>
                      <w:sz w:val="21"/>
                    </w:rPr>
                  </w:pPr>
                  <w:r>
                    <w:rPr>
                      <w:rFonts w:hint="eastAsia"/>
                      <w:b/>
                      <w:bCs/>
                      <w:color w:val="000000"/>
                      <w:sz w:val="21"/>
                    </w:rPr>
                    <w:t>氰化物</w:t>
                  </w:r>
                </w:p>
              </w:tc>
              <w:tc>
                <w:tcPr>
                  <w:tcW w:w="1396" w:type="dxa"/>
                  <w:vAlign w:val="center"/>
                </w:tcPr>
                <w:p>
                  <w:pPr>
                    <w:widowControl/>
                    <w:jc w:val="center"/>
                    <w:rPr>
                      <w:b/>
                      <w:bCs/>
                      <w:color w:val="000000"/>
                      <w:sz w:val="21"/>
                    </w:rPr>
                  </w:pPr>
                  <w:r>
                    <w:rPr>
                      <w:b/>
                      <w:bCs/>
                      <w:color w:val="000000"/>
                      <w:sz w:val="21"/>
                    </w:rPr>
                    <w:t>Hg</w:t>
                  </w:r>
                </w:p>
              </w:tc>
              <w:tc>
                <w:tcPr>
                  <w:tcW w:w="763" w:type="dxa"/>
                  <w:vAlign w:val="center"/>
                </w:tcPr>
                <w:p>
                  <w:pPr>
                    <w:widowControl/>
                    <w:jc w:val="center"/>
                    <w:rPr>
                      <w:b/>
                      <w:bCs/>
                      <w:color w:val="000000"/>
                      <w:sz w:val="21"/>
                    </w:rPr>
                  </w:pPr>
                  <w:r>
                    <w:rPr>
                      <w:b/>
                      <w:bCs/>
                      <w:color w:val="000000"/>
                      <w:sz w:val="21"/>
                    </w:rPr>
                    <w:t>As</w:t>
                  </w:r>
                </w:p>
              </w:tc>
              <w:tc>
                <w:tcPr>
                  <w:tcW w:w="1443" w:type="dxa"/>
                  <w:vAlign w:val="center"/>
                </w:tcPr>
                <w:p>
                  <w:pPr>
                    <w:widowControl/>
                    <w:jc w:val="center"/>
                    <w:rPr>
                      <w:b/>
                      <w:bCs/>
                      <w:color w:val="000000"/>
                      <w:sz w:val="21"/>
                    </w:rPr>
                  </w:pPr>
                  <w:r>
                    <w:rPr>
                      <w:b/>
                      <w:bCs/>
                      <w:color w:val="000000"/>
                      <w:sz w:val="21"/>
                    </w:rPr>
                    <w:t>Cd</w:t>
                  </w:r>
                </w:p>
              </w:tc>
              <w:tc>
                <w:tcPr>
                  <w:tcW w:w="1036" w:type="dxa"/>
                  <w:vAlign w:val="center"/>
                </w:tcPr>
                <w:p>
                  <w:pPr>
                    <w:widowControl/>
                    <w:jc w:val="center"/>
                    <w:rPr>
                      <w:b/>
                      <w:bCs/>
                      <w:color w:val="000000"/>
                      <w:sz w:val="21"/>
                    </w:rPr>
                  </w:pPr>
                  <w:r>
                    <w:rPr>
                      <w:b/>
                      <w:bCs/>
                      <w:color w:val="000000"/>
                      <w:sz w:val="21"/>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color w:val="000000"/>
                      <w:sz w:val="21"/>
                    </w:rPr>
                  </w:pPr>
                  <w:r>
                    <w:rPr>
                      <w:color w:val="000000"/>
                      <w:sz w:val="21"/>
                    </w:rPr>
                    <w:t>III类标准</w:t>
                  </w:r>
                </w:p>
              </w:tc>
              <w:tc>
                <w:tcPr>
                  <w:tcW w:w="1070" w:type="dxa"/>
                  <w:vAlign w:val="center"/>
                </w:tcPr>
                <w:p>
                  <w:pPr>
                    <w:widowControl/>
                    <w:jc w:val="center"/>
                    <w:rPr>
                      <w:color w:val="000000"/>
                      <w:sz w:val="21"/>
                    </w:rPr>
                  </w:pPr>
                  <w:r>
                    <w:rPr>
                      <w:rFonts w:hint="eastAsia"/>
                      <w:color w:val="000000"/>
                      <w:sz w:val="21"/>
                    </w:rPr>
                    <w:t>≤1.0</w:t>
                  </w:r>
                </w:p>
              </w:tc>
              <w:tc>
                <w:tcPr>
                  <w:tcW w:w="1216" w:type="dxa"/>
                  <w:vAlign w:val="center"/>
                </w:tcPr>
                <w:p>
                  <w:pPr>
                    <w:widowControl/>
                    <w:jc w:val="center"/>
                    <w:rPr>
                      <w:color w:val="000000"/>
                      <w:sz w:val="21"/>
                    </w:rPr>
                  </w:pPr>
                  <w:r>
                    <w:rPr>
                      <w:rFonts w:hint="eastAsia"/>
                      <w:color w:val="000000"/>
                      <w:sz w:val="21"/>
                    </w:rPr>
                    <w:t>≤0.05</w:t>
                  </w:r>
                </w:p>
              </w:tc>
              <w:tc>
                <w:tcPr>
                  <w:tcW w:w="1396" w:type="dxa"/>
                  <w:vAlign w:val="center"/>
                </w:tcPr>
                <w:p>
                  <w:pPr>
                    <w:widowControl/>
                    <w:jc w:val="center"/>
                    <w:rPr>
                      <w:color w:val="000000"/>
                      <w:sz w:val="21"/>
                    </w:rPr>
                  </w:pPr>
                  <w:r>
                    <w:rPr>
                      <w:rFonts w:hint="eastAsia"/>
                      <w:color w:val="000000"/>
                      <w:sz w:val="21"/>
                    </w:rPr>
                    <w:t>≤</w:t>
                  </w:r>
                  <w:r>
                    <w:rPr>
                      <w:color w:val="000000"/>
                      <w:sz w:val="21"/>
                    </w:rPr>
                    <w:t>0.001</w:t>
                  </w:r>
                </w:p>
              </w:tc>
              <w:tc>
                <w:tcPr>
                  <w:tcW w:w="763" w:type="dxa"/>
                  <w:vAlign w:val="center"/>
                </w:tcPr>
                <w:p>
                  <w:pPr>
                    <w:widowControl/>
                    <w:jc w:val="center"/>
                    <w:rPr>
                      <w:color w:val="000000"/>
                      <w:sz w:val="21"/>
                    </w:rPr>
                  </w:pPr>
                  <w:r>
                    <w:rPr>
                      <w:rFonts w:hint="eastAsia"/>
                      <w:color w:val="000000"/>
                      <w:sz w:val="21"/>
                    </w:rPr>
                    <w:t>≤</w:t>
                  </w:r>
                  <w:r>
                    <w:rPr>
                      <w:color w:val="000000"/>
                      <w:sz w:val="21"/>
                    </w:rPr>
                    <w:t>0.0</w:t>
                  </w:r>
                  <w:r>
                    <w:rPr>
                      <w:rFonts w:hint="eastAsia"/>
                      <w:color w:val="000000"/>
                      <w:sz w:val="21"/>
                    </w:rPr>
                    <w:t>1</w:t>
                  </w:r>
                </w:p>
              </w:tc>
              <w:tc>
                <w:tcPr>
                  <w:tcW w:w="1443"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005</w:t>
                  </w:r>
                </w:p>
              </w:tc>
              <w:tc>
                <w:tcPr>
                  <w:tcW w:w="1036" w:type="dxa"/>
                  <w:vAlign w:val="center"/>
                </w:tcPr>
                <w:p>
                  <w:pPr>
                    <w:widowControl/>
                    <w:jc w:val="center"/>
                    <w:rPr>
                      <w:color w:val="000000"/>
                      <w:sz w:val="21"/>
                    </w:rPr>
                  </w:pPr>
                  <w:r>
                    <w:rPr>
                      <w:rFonts w:hint="eastAsia"/>
                      <w:color w:val="000000"/>
                      <w:sz w:val="21"/>
                    </w:rPr>
                    <w:t>≤</w:t>
                  </w:r>
                  <w:r>
                    <w:rPr>
                      <w:color w:val="000000"/>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b/>
                      <w:bCs/>
                      <w:color w:val="000000"/>
                      <w:sz w:val="21"/>
                    </w:rPr>
                    <w:t>Pb</w:t>
                  </w:r>
                </w:p>
              </w:tc>
              <w:tc>
                <w:tcPr>
                  <w:tcW w:w="1216" w:type="dxa"/>
                  <w:vAlign w:val="center"/>
                </w:tcPr>
                <w:p>
                  <w:pPr>
                    <w:widowControl/>
                    <w:jc w:val="center"/>
                    <w:rPr>
                      <w:b/>
                      <w:bCs/>
                      <w:color w:val="000000"/>
                      <w:sz w:val="21"/>
                    </w:rPr>
                  </w:pPr>
                  <w:r>
                    <w:rPr>
                      <w:rFonts w:hint="eastAsia"/>
                      <w:b/>
                      <w:bCs/>
                      <w:color w:val="000000"/>
                      <w:sz w:val="21"/>
                    </w:rPr>
                    <w:t>总大肠菌群</w:t>
                  </w:r>
                </w:p>
              </w:tc>
              <w:tc>
                <w:tcPr>
                  <w:tcW w:w="1396" w:type="dxa"/>
                  <w:vAlign w:val="center"/>
                </w:tcPr>
                <w:p>
                  <w:pPr>
                    <w:widowControl/>
                    <w:jc w:val="center"/>
                    <w:rPr>
                      <w:b/>
                      <w:bCs/>
                      <w:color w:val="000000"/>
                      <w:sz w:val="21"/>
                    </w:rPr>
                  </w:pPr>
                  <w:r>
                    <w:rPr>
                      <w:rFonts w:hint="eastAsia"/>
                      <w:b/>
                      <w:bCs/>
                      <w:color w:val="000000"/>
                      <w:sz w:val="21"/>
                    </w:rPr>
                    <w:t>细菌总数</w:t>
                  </w:r>
                </w:p>
              </w:tc>
              <w:tc>
                <w:tcPr>
                  <w:tcW w:w="763" w:type="dxa"/>
                  <w:vAlign w:val="center"/>
                </w:tcPr>
                <w:p>
                  <w:pPr>
                    <w:widowControl/>
                    <w:jc w:val="center"/>
                    <w:rPr>
                      <w:color w:val="000000"/>
                      <w:sz w:val="21"/>
                    </w:rPr>
                  </w:pPr>
                </w:p>
              </w:tc>
              <w:tc>
                <w:tcPr>
                  <w:tcW w:w="1443" w:type="dxa"/>
                  <w:vAlign w:val="center"/>
                </w:tcPr>
                <w:p>
                  <w:pPr>
                    <w:widowControl/>
                    <w:jc w:val="center"/>
                    <w:rPr>
                      <w:color w:val="000000"/>
                      <w:sz w:val="21"/>
                    </w:rPr>
                  </w:pPr>
                </w:p>
              </w:tc>
              <w:tc>
                <w:tcPr>
                  <w:tcW w:w="1036" w:type="dxa"/>
                  <w:vAlign w:val="center"/>
                </w:tcPr>
                <w:p>
                  <w:pPr>
                    <w:widowControl/>
                    <w:jc w:val="center"/>
                    <w:rPr>
                      <w:color w:val="000000"/>
                      <w:sz w:val="21"/>
                    </w:rPr>
                  </w:pPr>
                </w:p>
              </w:tc>
            </w:tr>
          </w:tbl>
          <w:p>
            <w:pPr>
              <w:adjustRightInd w:val="0"/>
              <w:snapToGrid w:val="0"/>
              <w:spacing w:line="360" w:lineRule="auto"/>
              <w:ind w:firstLine="482" w:firstLineChars="200"/>
              <w:rPr>
                <w:b/>
                <w:bCs/>
              </w:rPr>
            </w:pPr>
          </w:p>
          <w:p>
            <w:pPr>
              <w:pStyle w:val="2"/>
            </w:pPr>
          </w:p>
          <w:p>
            <w:pPr>
              <w:pStyle w:val="2"/>
            </w:pPr>
          </w:p>
          <w:p>
            <w:pPr>
              <w:adjustRightInd w:val="0"/>
              <w:snapToGrid w:val="0"/>
              <w:spacing w:line="360" w:lineRule="auto"/>
              <w:ind w:firstLine="482" w:firstLineChars="200"/>
              <w:rPr>
                <w:b/>
                <w:bCs/>
              </w:rPr>
            </w:pPr>
            <w:r>
              <w:rPr>
                <w:rFonts w:hint="eastAsia"/>
                <w:b/>
                <w:bCs/>
              </w:rPr>
              <w:t>1、废水</w:t>
            </w:r>
          </w:p>
          <w:p>
            <w:pPr>
              <w:adjustRightInd w:val="0"/>
              <w:snapToGrid w:val="0"/>
              <w:spacing w:line="360" w:lineRule="auto"/>
              <w:ind w:firstLine="480" w:firstLineChars="200"/>
            </w:pPr>
            <w:r>
              <w:t>项目施工期</w:t>
            </w:r>
            <w:r>
              <w:rPr>
                <w:rFonts w:hint="eastAsia"/>
              </w:rPr>
              <w:t>产生的施工</w:t>
            </w:r>
            <w:r>
              <w:t>废水经临时沉淀池收集处理后，回用于</w:t>
            </w:r>
            <w:r>
              <w:rPr>
                <w:rFonts w:hint="eastAsia"/>
              </w:rPr>
              <w:t>施工场地</w:t>
            </w:r>
            <w:r>
              <w:t>内洒水抑尘，不外排，故不设排放标准。</w:t>
            </w:r>
          </w:p>
          <w:p>
            <w:pPr>
              <w:adjustRightInd w:val="0"/>
              <w:snapToGrid w:val="0"/>
              <w:spacing w:line="360" w:lineRule="auto"/>
              <w:ind w:firstLine="480" w:firstLineChars="200"/>
              <w:rPr>
                <w:color w:val="FF0000"/>
              </w:rPr>
            </w:pPr>
            <w:r>
              <w:rPr>
                <w:rFonts w:hint="eastAsia"/>
                <w:color w:val="FF0000"/>
              </w:rPr>
              <w:t>本项目运营期三座污水处理站出水水质执行以下标准：</w:t>
            </w:r>
          </w:p>
          <w:p>
            <w:pPr>
              <w:adjustRightInd w:val="0"/>
              <w:snapToGrid w:val="0"/>
              <w:spacing w:line="360" w:lineRule="auto"/>
              <w:ind w:firstLine="422" w:firstLineChars="200"/>
              <w:jc w:val="center"/>
              <w:rPr>
                <w:b/>
                <w:bCs/>
                <w:color w:val="FF0000"/>
                <w:sz w:val="21"/>
                <w:szCs w:val="21"/>
              </w:rPr>
            </w:pPr>
            <w:r>
              <w:rPr>
                <w:rFonts w:hint="eastAsia" w:ascii="宋体" w:hAnsi="宋体"/>
                <w:b/>
                <w:bCs/>
                <w:color w:val="FF0000"/>
                <w:sz w:val="21"/>
                <w:szCs w:val="21"/>
              </w:rPr>
              <w:t>表</w:t>
            </w:r>
            <w:r>
              <w:rPr>
                <w:rFonts w:hint="eastAsia"/>
                <w:b/>
                <w:bCs/>
                <w:color w:val="FF0000"/>
                <w:sz w:val="21"/>
                <w:szCs w:val="21"/>
              </w:rPr>
              <w:t>4-5 三座污水处理厂出水水质标准</w:t>
            </w:r>
            <w:r>
              <w:rPr>
                <w:rFonts w:hint="eastAsia" w:ascii="宋体" w:hAnsi="宋体"/>
                <w:b/>
                <w:bCs/>
                <w:color w:val="FF0000"/>
                <w:sz w:val="21"/>
                <w:szCs w:val="21"/>
              </w:rPr>
              <w:t xml:space="preserve">  单位：</w:t>
            </w:r>
            <w:r>
              <w:rPr>
                <w:b/>
                <w:bCs/>
                <w:color w:val="FF0000"/>
                <w:sz w:val="21"/>
                <w:szCs w:val="21"/>
              </w:rPr>
              <w:t>mg/L</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758"/>
              <w:gridCol w:w="1312"/>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3" w:type="dxa"/>
                  <w:vAlign w:val="center"/>
                </w:tcPr>
                <w:p>
                  <w:pPr>
                    <w:jc w:val="center"/>
                    <w:rPr>
                      <w:b/>
                      <w:color w:val="FF0000"/>
                      <w:sz w:val="21"/>
                      <w:szCs w:val="21"/>
                    </w:rPr>
                  </w:pPr>
                  <w:r>
                    <w:rPr>
                      <w:b/>
                      <w:color w:val="FF0000"/>
                      <w:sz w:val="21"/>
                      <w:szCs w:val="21"/>
                    </w:rPr>
                    <w:t>序号</w:t>
                  </w:r>
                </w:p>
              </w:tc>
              <w:tc>
                <w:tcPr>
                  <w:tcW w:w="2758" w:type="dxa"/>
                  <w:vAlign w:val="center"/>
                </w:tcPr>
                <w:p>
                  <w:pPr>
                    <w:jc w:val="center"/>
                    <w:rPr>
                      <w:b/>
                      <w:color w:val="FF0000"/>
                      <w:sz w:val="21"/>
                      <w:szCs w:val="21"/>
                    </w:rPr>
                  </w:pPr>
                  <w:r>
                    <w:rPr>
                      <w:b/>
                      <w:color w:val="FF0000"/>
                      <w:sz w:val="21"/>
                      <w:szCs w:val="21"/>
                    </w:rPr>
                    <w:t>基本控制项目</w:t>
                  </w:r>
                </w:p>
              </w:tc>
              <w:tc>
                <w:tcPr>
                  <w:tcW w:w="1312" w:type="dxa"/>
                  <w:vAlign w:val="center"/>
                </w:tcPr>
                <w:p>
                  <w:pPr>
                    <w:jc w:val="center"/>
                    <w:rPr>
                      <w:b/>
                      <w:color w:val="FF0000"/>
                      <w:sz w:val="21"/>
                      <w:szCs w:val="21"/>
                    </w:rPr>
                  </w:pPr>
                  <w:r>
                    <w:rPr>
                      <w:rFonts w:hint="eastAsia"/>
                      <w:b/>
                      <w:color w:val="FF0000"/>
                      <w:sz w:val="21"/>
                      <w:szCs w:val="21"/>
                    </w:rPr>
                    <w:t>标准值</w:t>
                  </w:r>
                </w:p>
              </w:tc>
              <w:tc>
                <w:tcPr>
                  <w:tcW w:w="3363" w:type="dxa"/>
                  <w:vAlign w:val="center"/>
                </w:tcPr>
                <w:p>
                  <w:pPr>
                    <w:jc w:val="center"/>
                    <w:rPr>
                      <w:b/>
                      <w:color w:val="FF0000"/>
                      <w:sz w:val="21"/>
                      <w:szCs w:val="21"/>
                    </w:rPr>
                  </w:pPr>
                  <w:r>
                    <w:rPr>
                      <w:b/>
                      <w:color w:val="FF000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1</w:t>
                  </w:r>
                </w:p>
              </w:tc>
              <w:tc>
                <w:tcPr>
                  <w:tcW w:w="2758" w:type="dxa"/>
                  <w:vAlign w:val="center"/>
                </w:tcPr>
                <w:p>
                  <w:pPr>
                    <w:jc w:val="center"/>
                    <w:rPr>
                      <w:bCs/>
                      <w:color w:val="FF0000"/>
                      <w:sz w:val="21"/>
                      <w:szCs w:val="21"/>
                    </w:rPr>
                  </w:pPr>
                  <w:r>
                    <w:rPr>
                      <w:bCs/>
                      <w:color w:val="FF0000"/>
                      <w:sz w:val="21"/>
                      <w:szCs w:val="21"/>
                    </w:rPr>
                    <w:t>化学需氧量</w:t>
                  </w:r>
                </w:p>
              </w:tc>
              <w:tc>
                <w:tcPr>
                  <w:tcW w:w="1312" w:type="dxa"/>
                  <w:vAlign w:val="center"/>
                </w:tcPr>
                <w:p>
                  <w:pPr>
                    <w:jc w:val="center"/>
                    <w:rPr>
                      <w:bCs/>
                      <w:color w:val="FF0000"/>
                      <w:sz w:val="21"/>
                      <w:szCs w:val="21"/>
                    </w:rPr>
                  </w:pPr>
                  <w:r>
                    <w:rPr>
                      <w:rFonts w:hint="eastAsia"/>
                      <w:bCs/>
                      <w:color w:val="FF0000"/>
                      <w:sz w:val="21"/>
                      <w:szCs w:val="21"/>
                    </w:rPr>
                    <w:t>30</w:t>
                  </w:r>
                </w:p>
              </w:tc>
              <w:tc>
                <w:tcPr>
                  <w:tcW w:w="3363" w:type="dxa"/>
                  <w:vMerge w:val="restart"/>
                  <w:vAlign w:val="center"/>
                </w:tcPr>
                <w:p>
                  <w:pPr>
                    <w:jc w:val="center"/>
                    <w:rPr>
                      <w:bCs/>
                      <w:color w:val="FF0000"/>
                      <w:sz w:val="21"/>
                      <w:szCs w:val="21"/>
                    </w:rPr>
                  </w:pPr>
                  <w:r>
                    <w:rPr>
                      <w:rFonts w:hint="eastAsia"/>
                      <w:bCs/>
                      <w:color w:val="FF0000"/>
                      <w:sz w:val="21"/>
                      <w:szCs w:val="21"/>
                    </w:rPr>
                    <w:t>《地表水环境质量标准》（GB3838-2002）中 Ⅳ类水质标准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rFonts w:hint="eastAsia"/>
                      <w:bCs/>
                      <w:color w:val="FF0000"/>
                      <w:sz w:val="21"/>
                      <w:szCs w:val="21"/>
                    </w:rPr>
                    <w:t>2</w:t>
                  </w:r>
                </w:p>
              </w:tc>
              <w:tc>
                <w:tcPr>
                  <w:tcW w:w="2758" w:type="dxa"/>
                  <w:vAlign w:val="center"/>
                </w:tcPr>
                <w:p>
                  <w:pPr>
                    <w:jc w:val="center"/>
                    <w:rPr>
                      <w:bCs/>
                      <w:color w:val="FF0000"/>
                      <w:sz w:val="21"/>
                      <w:szCs w:val="21"/>
                    </w:rPr>
                  </w:pPr>
                  <w:r>
                    <w:rPr>
                      <w:rFonts w:hint="eastAsia"/>
                      <w:bCs/>
                      <w:color w:val="FF0000"/>
                      <w:sz w:val="21"/>
                      <w:szCs w:val="21"/>
                    </w:rPr>
                    <w:t>五日生化需氧量</w:t>
                  </w:r>
                </w:p>
              </w:tc>
              <w:tc>
                <w:tcPr>
                  <w:tcW w:w="1312" w:type="dxa"/>
                  <w:vAlign w:val="center"/>
                </w:tcPr>
                <w:p>
                  <w:pPr>
                    <w:jc w:val="center"/>
                    <w:rPr>
                      <w:bCs/>
                      <w:color w:val="FF0000"/>
                      <w:sz w:val="21"/>
                      <w:szCs w:val="21"/>
                    </w:rPr>
                  </w:pPr>
                  <w:r>
                    <w:rPr>
                      <w:rFonts w:hint="eastAsia"/>
                      <w:bCs/>
                      <w:color w:val="FF0000"/>
                      <w:sz w:val="21"/>
                      <w:szCs w:val="21"/>
                    </w:rPr>
                    <w:t>6</w:t>
                  </w:r>
                </w:p>
              </w:tc>
              <w:tc>
                <w:tcPr>
                  <w:tcW w:w="3363" w:type="dxa"/>
                  <w:vMerge w:val="continue"/>
                  <w:vAlign w:val="center"/>
                </w:tcPr>
                <w:p>
                  <w:pPr>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3</w:t>
                  </w:r>
                </w:p>
              </w:tc>
              <w:tc>
                <w:tcPr>
                  <w:tcW w:w="2758" w:type="dxa"/>
                </w:tcPr>
                <w:p>
                  <w:pPr>
                    <w:jc w:val="center"/>
                    <w:rPr>
                      <w:bCs/>
                      <w:color w:val="FF0000"/>
                      <w:sz w:val="21"/>
                      <w:szCs w:val="21"/>
                    </w:rPr>
                  </w:pPr>
                  <w:r>
                    <w:rPr>
                      <w:bCs/>
                      <w:color w:val="FF0000"/>
                      <w:sz w:val="21"/>
                      <w:szCs w:val="21"/>
                    </w:rPr>
                    <w:t>氨氮（以N计）</w:t>
                  </w:r>
                </w:p>
              </w:tc>
              <w:tc>
                <w:tcPr>
                  <w:tcW w:w="1312" w:type="dxa"/>
                  <w:vAlign w:val="center"/>
                </w:tcPr>
                <w:p>
                  <w:pPr>
                    <w:jc w:val="center"/>
                    <w:rPr>
                      <w:bCs/>
                      <w:color w:val="FF0000"/>
                      <w:sz w:val="21"/>
                      <w:szCs w:val="21"/>
                    </w:rPr>
                  </w:pPr>
                  <w:r>
                    <w:rPr>
                      <w:rFonts w:hint="eastAsia"/>
                      <w:bCs/>
                      <w:color w:val="FF0000"/>
                      <w:sz w:val="21"/>
                      <w:szCs w:val="21"/>
                    </w:rPr>
                    <w:t>1.5</w:t>
                  </w:r>
                </w:p>
              </w:tc>
              <w:tc>
                <w:tcPr>
                  <w:tcW w:w="3363" w:type="dxa"/>
                  <w:vMerge w:val="continue"/>
                  <w:vAlign w:val="center"/>
                </w:tcPr>
                <w:p>
                  <w:pPr>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4</w:t>
                  </w:r>
                </w:p>
              </w:tc>
              <w:tc>
                <w:tcPr>
                  <w:tcW w:w="2758" w:type="dxa"/>
                </w:tcPr>
                <w:p>
                  <w:pPr>
                    <w:jc w:val="center"/>
                    <w:rPr>
                      <w:bCs/>
                      <w:color w:val="FF0000"/>
                      <w:sz w:val="21"/>
                      <w:szCs w:val="21"/>
                    </w:rPr>
                  </w:pPr>
                  <w:r>
                    <w:rPr>
                      <w:bCs/>
                      <w:color w:val="FF0000"/>
                      <w:sz w:val="21"/>
                      <w:szCs w:val="21"/>
                    </w:rPr>
                    <w:t>总磷（以P计）</w:t>
                  </w:r>
                </w:p>
              </w:tc>
              <w:tc>
                <w:tcPr>
                  <w:tcW w:w="1312" w:type="dxa"/>
                  <w:vAlign w:val="center"/>
                </w:tcPr>
                <w:p>
                  <w:pPr>
                    <w:jc w:val="center"/>
                    <w:rPr>
                      <w:bCs/>
                      <w:color w:val="FF0000"/>
                      <w:sz w:val="21"/>
                      <w:szCs w:val="21"/>
                    </w:rPr>
                  </w:pPr>
                  <w:r>
                    <w:rPr>
                      <w:rFonts w:hint="eastAsia"/>
                      <w:bCs/>
                      <w:color w:val="FF0000"/>
                      <w:sz w:val="21"/>
                      <w:szCs w:val="21"/>
                    </w:rPr>
                    <w:t>0.3</w:t>
                  </w:r>
                </w:p>
              </w:tc>
              <w:tc>
                <w:tcPr>
                  <w:tcW w:w="3363" w:type="dxa"/>
                  <w:vMerge w:val="continue"/>
                  <w:vAlign w:val="center"/>
                </w:tcPr>
                <w:p>
                  <w:pPr>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5</w:t>
                  </w:r>
                </w:p>
              </w:tc>
              <w:tc>
                <w:tcPr>
                  <w:tcW w:w="2758" w:type="dxa"/>
                  <w:vAlign w:val="center"/>
                </w:tcPr>
                <w:p>
                  <w:pPr>
                    <w:jc w:val="center"/>
                    <w:rPr>
                      <w:bCs/>
                      <w:color w:val="FF0000"/>
                      <w:sz w:val="21"/>
                      <w:szCs w:val="21"/>
                    </w:rPr>
                  </w:pPr>
                  <w:r>
                    <w:rPr>
                      <w:bCs/>
                      <w:color w:val="FF0000"/>
                      <w:sz w:val="21"/>
                      <w:szCs w:val="21"/>
                    </w:rPr>
                    <w:t>悬浮物（SS）</w:t>
                  </w:r>
                </w:p>
              </w:tc>
              <w:tc>
                <w:tcPr>
                  <w:tcW w:w="1312" w:type="dxa"/>
                  <w:vAlign w:val="center"/>
                </w:tcPr>
                <w:p>
                  <w:pPr>
                    <w:jc w:val="center"/>
                    <w:rPr>
                      <w:bCs/>
                      <w:color w:val="FF0000"/>
                      <w:sz w:val="21"/>
                      <w:szCs w:val="21"/>
                    </w:rPr>
                  </w:pPr>
                  <w:r>
                    <w:rPr>
                      <w:bCs/>
                      <w:color w:val="FF0000"/>
                      <w:sz w:val="21"/>
                      <w:szCs w:val="21"/>
                    </w:rPr>
                    <w:t>10</w:t>
                  </w:r>
                </w:p>
              </w:tc>
              <w:tc>
                <w:tcPr>
                  <w:tcW w:w="3363" w:type="dxa"/>
                  <w:vMerge w:val="restart"/>
                  <w:vAlign w:val="center"/>
                </w:tcPr>
                <w:p>
                  <w:pPr>
                    <w:jc w:val="center"/>
                    <w:rPr>
                      <w:bCs/>
                      <w:color w:val="FF0000"/>
                      <w:sz w:val="21"/>
                      <w:szCs w:val="21"/>
                    </w:rPr>
                  </w:pPr>
                  <w:r>
                    <w:rPr>
                      <w:bCs/>
                      <w:color w:val="FF0000"/>
                      <w:sz w:val="21"/>
                      <w:szCs w:val="21"/>
                    </w:rPr>
                    <w:t>《城镇污水处理厂污染物排放标准》（GB18918-2002）一级A标准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jc w:val="center"/>
                    <w:rPr>
                      <w:bCs/>
                      <w:color w:val="FF0000"/>
                      <w:sz w:val="21"/>
                      <w:szCs w:val="21"/>
                    </w:rPr>
                  </w:pPr>
                  <w:r>
                    <w:rPr>
                      <w:bCs/>
                      <w:color w:val="FF0000"/>
                      <w:sz w:val="21"/>
                      <w:szCs w:val="21"/>
                    </w:rPr>
                    <w:t>6</w:t>
                  </w:r>
                </w:p>
              </w:tc>
              <w:tc>
                <w:tcPr>
                  <w:tcW w:w="2758" w:type="dxa"/>
                </w:tcPr>
                <w:p>
                  <w:pPr>
                    <w:jc w:val="center"/>
                    <w:rPr>
                      <w:bCs/>
                      <w:color w:val="FF0000"/>
                      <w:sz w:val="21"/>
                      <w:szCs w:val="21"/>
                    </w:rPr>
                  </w:pPr>
                  <w:r>
                    <w:rPr>
                      <w:bCs/>
                      <w:color w:val="FF0000"/>
                      <w:sz w:val="21"/>
                      <w:szCs w:val="21"/>
                    </w:rPr>
                    <w:t>总氮（以N计）</w:t>
                  </w:r>
                </w:p>
              </w:tc>
              <w:tc>
                <w:tcPr>
                  <w:tcW w:w="1312" w:type="dxa"/>
                </w:tcPr>
                <w:p>
                  <w:pPr>
                    <w:jc w:val="center"/>
                    <w:rPr>
                      <w:bCs/>
                      <w:color w:val="FF0000"/>
                      <w:sz w:val="21"/>
                      <w:szCs w:val="21"/>
                    </w:rPr>
                  </w:pPr>
                  <w:r>
                    <w:rPr>
                      <w:bCs/>
                      <w:color w:val="FF0000"/>
                      <w:sz w:val="21"/>
                      <w:szCs w:val="21"/>
                    </w:rPr>
                    <w:t>15</w:t>
                  </w:r>
                </w:p>
              </w:tc>
              <w:tc>
                <w:tcPr>
                  <w:tcW w:w="3363" w:type="dxa"/>
                  <w:vMerge w:val="continue"/>
                  <w:vAlign w:val="center"/>
                </w:tcPr>
                <w:p>
                  <w:pPr>
                    <w:jc w:val="center"/>
                    <w:rPr>
                      <w:b/>
                      <w:bCs/>
                      <w:color w:val="FF0000"/>
                      <w:sz w:val="21"/>
                      <w:szCs w:val="21"/>
                    </w:rPr>
                  </w:pPr>
                </w:p>
              </w:tc>
            </w:tr>
          </w:tbl>
          <w:p>
            <w:pPr>
              <w:adjustRightInd w:val="0"/>
              <w:snapToGrid w:val="0"/>
              <w:spacing w:beforeLines="50" w:line="360" w:lineRule="auto"/>
              <w:ind w:firstLine="482" w:firstLineChars="200"/>
              <w:rPr>
                <w:b/>
                <w:bCs/>
              </w:rPr>
            </w:pPr>
            <w:r>
              <w:rPr>
                <w:rFonts w:hint="eastAsia"/>
                <w:b/>
                <w:bCs/>
              </w:rPr>
              <w:t>2、废气</w:t>
            </w:r>
          </w:p>
          <w:p>
            <w:pPr>
              <w:adjustRightInd w:val="0"/>
              <w:snapToGrid w:val="0"/>
              <w:spacing w:line="360" w:lineRule="auto"/>
              <w:ind w:firstLine="480" w:firstLineChars="200"/>
              <w:rPr>
                <w:b/>
                <w:bCs/>
                <w:szCs w:val="16"/>
              </w:rPr>
            </w:pPr>
            <w:r>
              <w:rPr>
                <w:rFonts w:hint="eastAsia"/>
              </w:rPr>
              <w:t>项目施工期产生的无组织扬尘，</w:t>
            </w:r>
            <w:r>
              <w:t>执行《大气污染物综合排放标准》</w:t>
            </w:r>
            <w:r>
              <w:rPr>
                <w:rFonts w:hint="eastAsia"/>
              </w:rPr>
              <w:t>（</w:t>
            </w:r>
            <w:r>
              <w:t>GB16297-1996</w:t>
            </w:r>
            <w:r>
              <w:rPr>
                <w:rFonts w:hint="eastAsia"/>
              </w:rPr>
              <w:t>）中颗粒物无组织排放监控限值要求，标准值见</w:t>
            </w:r>
            <w:r>
              <w:rPr>
                <w:rFonts w:hint="eastAsia"/>
                <w:bCs/>
              </w:rPr>
              <w:t>表4-6。</w:t>
            </w:r>
          </w:p>
          <w:p>
            <w:pPr>
              <w:adjustRightInd w:val="0"/>
              <w:snapToGrid w:val="0"/>
              <w:spacing w:line="360" w:lineRule="auto"/>
              <w:jc w:val="center"/>
              <w:rPr>
                <w:b/>
                <w:bCs/>
                <w:sz w:val="21"/>
                <w:szCs w:val="21"/>
              </w:rPr>
            </w:pPr>
            <w:r>
              <w:rPr>
                <w:b/>
                <w:bCs/>
                <w:sz w:val="21"/>
                <w:szCs w:val="21"/>
              </w:rPr>
              <w:t>表</w:t>
            </w:r>
            <w:r>
              <w:rPr>
                <w:rFonts w:hint="eastAsia"/>
                <w:b/>
                <w:bCs/>
                <w:sz w:val="21"/>
                <w:szCs w:val="21"/>
              </w:rPr>
              <w:t xml:space="preserve">4-6 </w:t>
            </w:r>
            <w:r>
              <w:rPr>
                <w:b/>
                <w:bCs/>
                <w:sz w:val="21"/>
                <w:szCs w:val="21"/>
              </w:rPr>
              <w:t>大气污染物综合排放标准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757"/>
              <w:gridCol w:w="1699"/>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5" w:type="dxa"/>
                  <w:vMerge w:val="restart"/>
                  <w:vAlign w:val="center"/>
                </w:tcPr>
                <w:p>
                  <w:pPr>
                    <w:pStyle w:val="28"/>
                    <w:ind w:left="422" w:hanging="422"/>
                    <w:jc w:val="center"/>
                    <w:rPr>
                      <w:b/>
                      <w:bCs/>
                      <w:sz w:val="21"/>
                      <w:szCs w:val="21"/>
                    </w:rPr>
                  </w:pPr>
                  <w:r>
                    <w:rPr>
                      <w:rFonts w:hAnsi="宋体"/>
                      <w:b/>
                      <w:bCs/>
                      <w:sz w:val="21"/>
                      <w:szCs w:val="21"/>
                    </w:rPr>
                    <w:t>污染物名称</w:t>
                  </w:r>
                </w:p>
              </w:tc>
              <w:tc>
                <w:tcPr>
                  <w:tcW w:w="3456" w:type="dxa"/>
                  <w:gridSpan w:val="2"/>
                  <w:vAlign w:val="center"/>
                </w:tcPr>
                <w:p>
                  <w:pPr>
                    <w:pStyle w:val="28"/>
                    <w:ind w:left="422" w:hanging="422"/>
                    <w:jc w:val="center"/>
                    <w:rPr>
                      <w:rFonts w:hAnsi="宋体"/>
                      <w:b/>
                      <w:bCs/>
                      <w:sz w:val="21"/>
                      <w:szCs w:val="21"/>
                    </w:rPr>
                  </w:pPr>
                  <w:r>
                    <w:rPr>
                      <w:rFonts w:hint="eastAsia" w:hAnsi="宋体"/>
                      <w:b/>
                      <w:bCs/>
                      <w:sz w:val="21"/>
                      <w:szCs w:val="21"/>
                    </w:rPr>
                    <w:t>无组织排放监控</w:t>
                  </w:r>
                </w:p>
              </w:tc>
              <w:tc>
                <w:tcPr>
                  <w:tcW w:w="2954" w:type="dxa"/>
                  <w:vAlign w:val="center"/>
                </w:tcPr>
                <w:p>
                  <w:pPr>
                    <w:pStyle w:val="28"/>
                    <w:ind w:left="422" w:hanging="422"/>
                    <w:jc w:val="center"/>
                    <w:rPr>
                      <w:rFonts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5" w:type="dxa"/>
                  <w:vMerge w:val="continue"/>
                  <w:vAlign w:val="center"/>
                </w:tcPr>
                <w:p>
                  <w:pPr>
                    <w:pStyle w:val="28"/>
                    <w:ind w:left="422" w:hanging="422"/>
                    <w:jc w:val="center"/>
                    <w:rPr>
                      <w:b/>
                      <w:bCs/>
                      <w:sz w:val="21"/>
                      <w:szCs w:val="21"/>
                    </w:rPr>
                  </w:pPr>
                </w:p>
              </w:tc>
              <w:tc>
                <w:tcPr>
                  <w:tcW w:w="1757" w:type="dxa"/>
                  <w:vAlign w:val="center"/>
                </w:tcPr>
                <w:p>
                  <w:pPr>
                    <w:pStyle w:val="28"/>
                    <w:ind w:left="422" w:hanging="422"/>
                    <w:jc w:val="center"/>
                    <w:rPr>
                      <w:b/>
                      <w:bCs/>
                      <w:sz w:val="21"/>
                      <w:szCs w:val="21"/>
                    </w:rPr>
                  </w:pPr>
                  <w:r>
                    <w:rPr>
                      <w:rFonts w:hAnsi="宋体"/>
                      <w:b/>
                      <w:bCs/>
                      <w:sz w:val="21"/>
                      <w:szCs w:val="21"/>
                    </w:rPr>
                    <w:t>监控点</w:t>
                  </w:r>
                </w:p>
              </w:tc>
              <w:tc>
                <w:tcPr>
                  <w:tcW w:w="1699" w:type="dxa"/>
                  <w:vAlign w:val="center"/>
                </w:tcPr>
                <w:p>
                  <w:pPr>
                    <w:pStyle w:val="28"/>
                    <w:ind w:left="422" w:hanging="422"/>
                    <w:jc w:val="center"/>
                    <w:rPr>
                      <w:b/>
                      <w:bCs/>
                      <w:sz w:val="21"/>
                      <w:szCs w:val="21"/>
                    </w:rPr>
                  </w:pPr>
                  <w:r>
                    <w:rPr>
                      <w:rFonts w:hAnsi="宋体"/>
                      <w:b/>
                      <w:bCs/>
                      <w:sz w:val="21"/>
                      <w:szCs w:val="21"/>
                    </w:rPr>
                    <w:t>浓度限值（</w:t>
                  </w:r>
                  <w:r>
                    <w:rPr>
                      <w:b/>
                      <w:bCs/>
                      <w:sz w:val="21"/>
                      <w:szCs w:val="21"/>
                    </w:rPr>
                    <w:t>mg/m</w:t>
                  </w:r>
                  <w:r>
                    <w:rPr>
                      <w:b/>
                      <w:bCs/>
                      <w:sz w:val="21"/>
                      <w:szCs w:val="21"/>
                      <w:vertAlign w:val="superscript"/>
                    </w:rPr>
                    <w:t>3</w:t>
                  </w:r>
                  <w:r>
                    <w:rPr>
                      <w:rFonts w:hAnsi="宋体"/>
                      <w:b/>
                      <w:bCs/>
                      <w:sz w:val="21"/>
                      <w:szCs w:val="21"/>
                    </w:rPr>
                    <w:t>）</w:t>
                  </w:r>
                </w:p>
              </w:tc>
              <w:tc>
                <w:tcPr>
                  <w:tcW w:w="2954" w:type="dxa"/>
                  <w:vAlign w:val="center"/>
                </w:tcPr>
                <w:p>
                  <w:pPr>
                    <w:pStyle w:val="28"/>
                    <w:ind w:left="422" w:hanging="422"/>
                    <w:jc w:val="center"/>
                    <w:rPr>
                      <w:rFonts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5" w:type="dxa"/>
                  <w:vAlign w:val="center"/>
                </w:tcPr>
                <w:p>
                  <w:pPr>
                    <w:pStyle w:val="28"/>
                    <w:ind w:left="420" w:hanging="420"/>
                    <w:jc w:val="center"/>
                    <w:rPr>
                      <w:rFonts w:ascii="宋体" w:hAnsi="宋体"/>
                      <w:sz w:val="21"/>
                      <w:szCs w:val="21"/>
                    </w:rPr>
                  </w:pPr>
                  <w:r>
                    <w:rPr>
                      <w:rFonts w:ascii="宋体" w:hAnsi="宋体"/>
                      <w:sz w:val="21"/>
                      <w:szCs w:val="21"/>
                    </w:rPr>
                    <w:t>颗</w:t>
                  </w:r>
                  <w:r>
                    <w:rPr>
                      <w:rFonts w:hint="eastAsia" w:ascii="宋体" w:hAnsi="宋体"/>
                      <w:sz w:val="21"/>
                      <w:szCs w:val="21"/>
                    </w:rPr>
                    <w:t>粒</w:t>
                  </w:r>
                  <w:r>
                    <w:rPr>
                      <w:rFonts w:ascii="宋体" w:hAnsi="宋体"/>
                      <w:sz w:val="21"/>
                      <w:szCs w:val="21"/>
                    </w:rPr>
                    <w:t>物</w:t>
                  </w:r>
                </w:p>
              </w:tc>
              <w:tc>
                <w:tcPr>
                  <w:tcW w:w="1757" w:type="dxa"/>
                  <w:vAlign w:val="center"/>
                </w:tcPr>
                <w:p>
                  <w:pPr>
                    <w:pStyle w:val="28"/>
                    <w:ind w:left="420" w:hanging="420"/>
                    <w:jc w:val="center"/>
                    <w:rPr>
                      <w:rFonts w:ascii="宋体" w:hAnsi="宋体"/>
                      <w:sz w:val="21"/>
                      <w:szCs w:val="21"/>
                    </w:rPr>
                  </w:pPr>
                  <w:r>
                    <w:rPr>
                      <w:rFonts w:ascii="宋体" w:hAnsi="宋体"/>
                      <w:sz w:val="21"/>
                      <w:szCs w:val="21"/>
                    </w:rPr>
                    <w:t>周界外浓度最高点</w:t>
                  </w:r>
                </w:p>
              </w:tc>
              <w:tc>
                <w:tcPr>
                  <w:tcW w:w="1699" w:type="dxa"/>
                  <w:vAlign w:val="center"/>
                </w:tcPr>
                <w:p>
                  <w:pPr>
                    <w:pStyle w:val="28"/>
                    <w:ind w:left="420" w:hanging="420"/>
                    <w:jc w:val="center"/>
                    <w:rPr>
                      <w:sz w:val="21"/>
                      <w:szCs w:val="21"/>
                    </w:rPr>
                  </w:pPr>
                  <w:r>
                    <w:rPr>
                      <w:sz w:val="21"/>
                      <w:szCs w:val="21"/>
                    </w:rPr>
                    <w:t>1.0</w:t>
                  </w:r>
                </w:p>
              </w:tc>
              <w:tc>
                <w:tcPr>
                  <w:tcW w:w="2954" w:type="dxa"/>
                  <w:vAlign w:val="center"/>
                </w:tcPr>
                <w:p>
                  <w:pPr>
                    <w:pStyle w:val="28"/>
                    <w:ind w:left="420" w:hanging="420"/>
                    <w:jc w:val="center"/>
                    <w:rPr>
                      <w:sz w:val="21"/>
                      <w:szCs w:val="21"/>
                    </w:rPr>
                  </w:pPr>
                </w:p>
              </w:tc>
            </w:tr>
          </w:tbl>
          <w:p>
            <w:pPr>
              <w:autoSpaceDE w:val="0"/>
              <w:autoSpaceDN w:val="0"/>
              <w:adjustRightInd w:val="0"/>
              <w:snapToGrid w:val="0"/>
              <w:spacing w:beforeLines="50" w:line="360" w:lineRule="auto"/>
              <w:ind w:firstLine="480" w:firstLineChars="200"/>
            </w:pPr>
            <w:r>
              <w:t>项目运营期</w:t>
            </w:r>
            <w:r>
              <w:rPr>
                <w:rFonts w:hint="eastAsia"/>
              </w:rPr>
              <w:t>污水处理过程中产生的恶臭执行《城镇污水处理厂污染物排放标准》（GB18918-2002）表4中二级标准</w:t>
            </w:r>
            <w:r>
              <w:rPr>
                <w:szCs w:val="24"/>
                <w:lang w:val="zh-CN"/>
              </w:rPr>
              <w:t>，</w:t>
            </w:r>
            <w:r>
              <w:rPr>
                <w:rFonts w:hint="eastAsia"/>
              </w:rPr>
              <w:t>标准值见</w:t>
            </w:r>
            <w:r>
              <w:rPr>
                <w:rFonts w:hint="eastAsia"/>
                <w:bCs/>
              </w:rPr>
              <w:t>表4-7。</w:t>
            </w:r>
          </w:p>
          <w:p>
            <w:pPr>
              <w:adjustRightInd w:val="0"/>
              <w:snapToGrid w:val="0"/>
              <w:spacing w:line="360" w:lineRule="auto"/>
              <w:jc w:val="center"/>
              <w:rPr>
                <w:b/>
                <w:bCs/>
                <w:sz w:val="21"/>
                <w:szCs w:val="21"/>
              </w:rPr>
            </w:pPr>
            <w:r>
              <w:rPr>
                <w:b/>
                <w:bCs/>
                <w:sz w:val="21"/>
                <w:szCs w:val="21"/>
              </w:rPr>
              <w:t>表</w:t>
            </w:r>
            <w:r>
              <w:rPr>
                <w:rFonts w:hint="eastAsia"/>
                <w:b/>
                <w:bCs/>
                <w:sz w:val="21"/>
                <w:szCs w:val="21"/>
              </w:rPr>
              <w:t>4-7  厂界（防护带边缘）废气排放最高允许浓度</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3407"/>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4" w:type="dxa"/>
                  <w:vAlign w:val="center"/>
                </w:tcPr>
                <w:p>
                  <w:pPr>
                    <w:adjustRightInd w:val="0"/>
                    <w:snapToGrid w:val="0"/>
                    <w:jc w:val="center"/>
                    <w:rPr>
                      <w:b/>
                      <w:bCs/>
                      <w:sz w:val="21"/>
                      <w:szCs w:val="21"/>
                    </w:rPr>
                  </w:pPr>
                  <w:r>
                    <w:rPr>
                      <w:rFonts w:hint="eastAsia"/>
                      <w:b/>
                      <w:bCs/>
                      <w:sz w:val="21"/>
                      <w:szCs w:val="21"/>
                    </w:rPr>
                    <w:t>序号</w:t>
                  </w:r>
                </w:p>
              </w:tc>
              <w:tc>
                <w:tcPr>
                  <w:tcW w:w="3407" w:type="dxa"/>
                  <w:vAlign w:val="center"/>
                </w:tcPr>
                <w:p>
                  <w:pPr>
                    <w:adjustRightInd w:val="0"/>
                    <w:snapToGrid w:val="0"/>
                    <w:jc w:val="center"/>
                    <w:rPr>
                      <w:b/>
                      <w:bCs/>
                      <w:sz w:val="21"/>
                      <w:szCs w:val="21"/>
                    </w:rPr>
                  </w:pPr>
                  <w:r>
                    <w:rPr>
                      <w:b/>
                      <w:bCs/>
                      <w:sz w:val="21"/>
                      <w:szCs w:val="21"/>
                    </w:rPr>
                    <w:t>污染物</w:t>
                  </w:r>
                  <w:r>
                    <w:rPr>
                      <w:rFonts w:hint="eastAsia"/>
                      <w:b/>
                      <w:bCs/>
                      <w:sz w:val="21"/>
                      <w:szCs w:val="21"/>
                    </w:rPr>
                    <w:t>名称</w:t>
                  </w:r>
                </w:p>
              </w:tc>
              <w:tc>
                <w:tcPr>
                  <w:tcW w:w="2742" w:type="dxa"/>
                  <w:vAlign w:val="center"/>
                </w:tcPr>
                <w:p>
                  <w:pPr>
                    <w:adjustRightInd w:val="0"/>
                    <w:snapToGrid w:val="0"/>
                    <w:jc w:val="center"/>
                    <w:rPr>
                      <w:b/>
                      <w:bCs/>
                      <w:sz w:val="21"/>
                      <w:szCs w:val="21"/>
                    </w:rPr>
                  </w:pPr>
                  <w:r>
                    <w:rPr>
                      <w:rFonts w:hint="eastAsia"/>
                      <w:b/>
                      <w:bCs/>
                      <w:sz w:val="21"/>
                      <w:szCs w:val="21"/>
                    </w:rPr>
                    <w:t>二级标准浓度限值（</w:t>
                  </w:r>
                  <w:r>
                    <w:rPr>
                      <w:b/>
                      <w:bCs/>
                      <w:sz w:val="21"/>
                      <w:szCs w:val="21"/>
                    </w:rPr>
                    <w:t>mg/m</w:t>
                  </w:r>
                  <w:r>
                    <w:rPr>
                      <w:rFonts w:hint="eastAsia"/>
                      <w:b/>
                      <w:bCs/>
                      <w:sz w:val="21"/>
                      <w:szCs w:val="21"/>
                      <w:vertAlign w:val="superscript"/>
                    </w:rPr>
                    <w:t>3</w:t>
                  </w:r>
                  <w:r>
                    <w:rPr>
                      <w:rFonts w:hint="eastAsia"/>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4" w:type="dxa"/>
                  <w:vAlign w:val="center"/>
                </w:tcPr>
                <w:p>
                  <w:pPr>
                    <w:pStyle w:val="28"/>
                    <w:ind w:left="420" w:hanging="420"/>
                    <w:jc w:val="center"/>
                    <w:rPr>
                      <w:sz w:val="21"/>
                      <w:szCs w:val="21"/>
                    </w:rPr>
                  </w:pPr>
                  <w:r>
                    <w:rPr>
                      <w:rFonts w:hint="eastAsia"/>
                      <w:sz w:val="21"/>
                      <w:szCs w:val="21"/>
                    </w:rPr>
                    <w:t>1</w:t>
                  </w:r>
                </w:p>
              </w:tc>
              <w:tc>
                <w:tcPr>
                  <w:tcW w:w="3407" w:type="dxa"/>
                  <w:vAlign w:val="center"/>
                </w:tcPr>
                <w:p>
                  <w:pPr>
                    <w:pStyle w:val="28"/>
                    <w:ind w:left="420" w:hanging="420"/>
                    <w:jc w:val="center"/>
                    <w:rPr>
                      <w:sz w:val="21"/>
                      <w:szCs w:val="21"/>
                    </w:rPr>
                  </w:pPr>
                  <w:r>
                    <w:rPr>
                      <w:sz w:val="21"/>
                      <w:szCs w:val="21"/>
                    </w:rPr>
                    <w:t>氨(NH</w:t>
                  </w:r>
                  <w:r>
                    <w:rPr>
                      <w:sz w:val="21"/>
                      <w:szCs w:val="21"/>
                      <w:vertAlign w:val="subscript"/>
                    </w:rPr>
                    <w:t>3</w:t>
                  </w:r>
                  <w:r>
                    <w:rPr>
                      <w:sz w:val="21"/>
                      <w:szCs w:val="21"/>
                    </w:rPr>
                    <w:t>)</w:t>
                  </w:r>
                </w:p>
              </w:tc>
              <w:tc>
                <w:tcPr>
                  <w:tcW w:w="2742" w:type="dxa"/>
                  <w:vAlign w:val="center"/>
                </w:tcPr>
                <w:p>
                  <w:pPr>
                    <w:pStyle w:val="28"/>
                    <w:ind w:left="420" w:hanging="420"/>
                    <w:jc w:val="center"/>
                    <w:rPr>
                      <w:sz w:val="21"/>
                      <w:szCs w:val="21"/>
                    </w:rPr>
                  </w:pPr>
                  <w:r>
                    <w:rPr>
                      <w:rFonts w:hint="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4" w:type="dxa"/>
                  <w:vAlign w:val="center"/>
                </w:tcPr>
                <w:p>
                  <w:pPr>
                    <w:pStyle w:val="28"/>
                    <w:ind w:left="420" w:hanging="420"/>
                    <w:jc w:val="center"/>
                    <w:rPr>
                      <w:sz w:val="21"/>
                      <w:szCs w:val="21"/>
                    </w:rPr>
                  </w:pPr>
                  <w:r>
                    <w:rPr>
                      <w:rFonts w:hint="eastAsia"/>
                      <w:sz w:val="21"/>
                      <w:szCs w:val="21"/>
                    </w:rPr>
                    <w:t>2</w:t>
                  </w:r>
                </w:p>
              </w:tc>
              <w:tc>
                <w:tcPr>
                  <w:tcW w:w="3407" w:type="dxa"/>
                  <w:vAlign w:val="center"/>
                </w:tcPr>
                <w:p>
                  <w:pPr>
                    <w:pStyle w:val="28"/>
                    <w:ind w:left="420" w:hanging="420"/>
                    <w:jc w:val="center"/>
                    <w:rPr>
                      <w:sz w:val="21"/>
                      <w:szCs w:val="21"/>
                    </w:rPr>
                  </w:pPr>
                  <w:r>
                    <w:rPr>
                      <w:sz w:val="21"/>
                      <w:szCs w:val="21"/>
                    </w:rPr>
                    <w:t>硫化氢(H</w:t>
                  </w:r>
                  <w:r>
                    <w:rPr>
                      <w:sz w:val="21"/>
                      <w:szCs w:val="21"/>
                      <w:vertAlign w:val="subscript"/>
                    </w:rPr>
                    <w:t>2</w:t>
                  </w:r>
                  <w:r>
                    <w:rPr>
                      <w:sz w:val="21"/>
                      <w:szCs w:val="21"/>
                    </w:rPr>
                    <w:t>S)</w:t>
                  </w:r>
                </w:p>
              </w:tc>
              <w:tc>
                <w:tcPr>
                  <w:tcW w:w="2742" w:type="dxa"/>
                  <w:vAlign w:val="center"/>
                </w:tcPr>
                <w:p>
                  <w:pPr>
                    <w:pStyle w:val="28"/>
                    <w:ind w:left="420" w:hanging="420"/>
                    <w:jc w:val="center"/>
                    <w:rPr>
                      <w:sz w:val="21"/>
                      <w:szCs w:val="21"/>
                    </w:rPr>
                  </w:pPr>
                  <w:r>
                    <w:rPr>
                      <w:rFonts w:hint="eastAsia"/>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4" w:type="dxa"/>
                  <w:vAlign w:val="center"/>
                </w:tcPr>
                <w:p>
                  <w:pPr>
                    <w:pStyle w:val="28"/>
                    <w:ind w:left="420" w:hanging="420"/>
                    <w:jc w:val="center"/>
                    <w:rPr>
                      <w:sz w:val="21"/>
                      <w:szCs w:val="21"/>
                    </w:rPr>
                  </w:pPr>
                  <w:r>
                    <w:rPr>
                      <w:rFonts w:hint="eastAsia"/>
                      <w:sz w:val="21"/>
                      <w:szCs w:val="21"/>
                    </w:rPr>
                    <w:t>3</w:t>
                  </w:r>
                </w:p>
              </w:tc>
              <w:tc>
                <w:tcPr>
                  <w:tcW w:w="3407" w:type="dxa"/>
                  <w:vAlign w:val="center"/>
                </w:tcPr>
                <w:p>
                  <w:pPr>
                    <w:pStyle w:val="28"/>
                    <w:ind w:left="420" w:hanging="420"/>
                    <w:jc w:val="center"/>
                    <w:rPr>
                      <w:sz w:val="21"/>
                      <w:szCs w:val="21"/>
                    </w:rPr>
                  </w:pPr>
                  <w:r>
                    <w:rPr>
                      <w:sz w:val="21"/>
                      <w:szCs w:val="21"/>
                    </w:rPr>
                    <w:t>臭气浓度（无量纲）</w:t>
                  </w:r>
                </w:p>
              </w:tc>
              <w:tc>
                <w:tcPr>
                  <w:tcW w:w="2742" w:type="dxa"/>
                  <w:vAlign w:val="center"/>
                </w:tcPr>
                <w:p>
                  <w:pPr>
                    <w:pStyle w:val="28"/>
                    <w:ind w:left="420" w:hanging="420"/>
                    <w:jc w:val="center"/>
                    <w:rPr>
                      <w:sz w:val="21"/>
                      <w:szCs w:val="21"/>
                    </w:rPr>
                  </w:pPr>
                  <w:r>
                    <w:rPr>
                      <w:sz w:val="21"/>
                      <w:szCs w:val="21"/>
                    </w:rPr>
                    <w:t>20</w:t>
                  </w:r>
                </w:p>
              </w:tc>
            </w:tr>
          </w:tbl>
          <w:p>
            <w:pPr>
              <w:adjustRightInd w:val="0"/>
              <w:snapToGrid w:val="0"/>
              <w:spacing w:beforeLines="50" w:line="360" w:lineRule="auto"/>
              <w:ind w:firstLine="482" w:firstLineChars="200"/>
              <w:rPr>
                <w:b/>
                <w:bCs/>
              </w:rPr>
            </w:pPr>
            <w:r>
              <w:rPr>
                <w:rFonts w:hint="eastAsia"/>
                <w:b/>
                <w:bCs/>
              </w:rPr>
              <w:t>3、噪声</w:t>
            </w:r>
          </w:p>
          <w:p>
            <w:pPr>
              <w:adjustRightInd w:val="0"/>
              <w:snapToGrid w:val="0"/>
              <w:spacing w:line="360" w:lineRule="auto"/>
              <w:ind w:firstLine="480" w:firstLineChars="200"/>
            </w:pPr>
            <w:r>
              <w:t>项目施工期</w:t>
            </w:r>
            <w:r>
              <w:rPr>
                <w:rFonts w:hint="eastAsia"/>
              </w:rPr>
              <w:t>产生的</w:t>
            </w:r>
            <w:r>
              <w:t>噪声执行《</w:t>
            </w:r>
            <w:r>
              <w:rPr>
                <w:lang w:val="zh-CN"/>
              </w:rPr>
              <w:t>建筑施工场界环境噪声排放标准</w:t>
            </w:r>
            <w:r>
              <w:t>》（</w:t>
            </w:r>
            <w:r>
              <w:rPr>
                <w:lang w:val="zh-CN"/>
              </w:rPr>
              <w:t>GB 12523-2011</w:t>
            </w:r>
            <w:r>
              <w:t>），标准值见</w:t>
            </w:r>
            <w:r>
              <w:rPr>
                <w:rFonts w:hint="eastAsia"/>
                <w:bCs/>
              </w:rPr>
              <w:t>下表4-8。</w:t>
            </w:r>
          </w:p>
          <w:p>
            <w:pPr>
              <w:pStyle w:val="17"/>
              <w:adjustRightInd w:val="0"/>
              <w:snapToGrid w:val="0"/>
              <w:spacing w:line="360" w:lineRule="auto"/>
              <w:ind w:firstLine="1476" w:firstLineChars="700"/>
              <w:rPr>
                <w:rFonts w:ascii="Times New Roman" w:hAnsi="Times New Roman"/>
                <w:b/>
                <w:bCs/>
                <w:sz w:val="21"/>
                <w:szCs w:val="21"/>
                <w:lang w:val="zh-CN"/>
              </w:rPr>
            </w:pPr>
            <w:r>
              <w:rPr>
                <w:rFonts w:ascii="Times New Roman" w:hAnsi="Times New Roman"/>
                <w:b/>
                <w:bCs/>
                <w:sz w:val="21"/>
                <w:szCs w:val="21"/>
                <w:lang w:val="zh-CN"/>
              </w:rPr>
              <w:t>表</w:t>
            </w:r>
            <w:r>
              <w:rPr>
                <w:rFonts w:hint="eastAsia" w:ascii="Times New Roman" w:hAnsi="Times New Roman"/>
                <w:b/>
                <w:bCs/>
                <w:sz w:val="21"/>
                <w:szCs w:val="21"/>
              </w:rPr>
              <w:t xml:space="preserve">4-8 </w:t>
            </w:r>
            <w:r>
              <w:rPr>
                <w:rFonts w:ascii="Times New Roman" w:hAnsi="Times New Roman"/>
                <w:b/>
                <w:bCs/>
                <w:sz w:val="21"/>
                <w:szCs w:val="21"/>
                <w:lang w:val="zh-CN"/>
              </w:rPr>
              <w:t xml:space="preserve"> 建筑施工场界环境噪声排放标准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3536" w:type="dxa"/>
                  <w:vAlign w:val="center"/>
                </w:tcPr>
                <w:p>
                  <w:pPr>
                    <w:adjustRightInd w:val="0"/>
                    <w:snapToGrid w:val="0"/>
                    <w:spacing w:line="360" w:lineRule="auto"/>
                    <w:ind w:firstLine="91" w:firstLineChars="43"/>
                    <w:jc w:val="center"/>
                    <w:rPr>
                      <w:b/>
                      <w:bCs/>
                      <w:sz w:val="21"/>
                      <w:szCs w:val="21"/>
                    </w:rPr>
                  </w:pPr>
                  <w:r>
                    <w:rPr>
                      <w:b/>
                      <w:bCs/>
                      <w:sz w:val="21"/>
                      <w:szCs w:val="21"/>
                    </w:rPr>
                    <w:t>昼间</w:t>
                  </w:r>
                </w:p>
              </w:tc>
              <w:tc>
                <w:tcPr>
                  <w:tcW w:w="3274" w:type="dxa"/>
                  <w:vAlign w:val="center"/>
                </w:tcPr>
                <w:p>
                  <w:pPr>
                    <w:adjustRightInd w:val="0"/>
                    <w:snapToGrid w:val="0"/>
                    <w:spacing w:line="360" w:lineRule="auto"/>
                    <w:ind w:firstLine="91" w:firstLineChars="43"/>
                    <w:jc w:val="center"/>
                    <w:rPr>
                      <w:b/>
                      <w:bCs/>
                      <w:sz w:val="21"/>
                      <w:szCs w:val="21"/>
                    </w:rPr>
                  </w:pPr>
                  <w:r>
                    <w:rPr>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3536" w:type="dxa"/>
                  <w:vAlign w:val="center"/>
                </w:tcPr>
                <w:p>
                  <w:pPr>
                    <w:adjustRightInd w:val="0"/>
                    <w:snapToGrid w:val="0"/>
                    <w:spacing w:line="360" w:lineRule="auto"/>
                    <w:ind w:firstLine="90" w:firstLineChars="43"/>
                    <w:jc w:val="center"/>
                    <w:rPr>
                      <w:sz w:val="21"/>
                      <w:szCs w:val="21"/>
                    </w:rPr>
                  </w:pPr>
                  <w:r>
                    <w:rPr>
                      <w:sz w:val="21"/>
                      <w:szCs w:val="21"/>
                    </w:rPr>
                    <w:t>70</w:t>
                  </w:r>
                </w:p>
              </w:tc>
              <w:tc>
                <w:tcPr>
                  <w:tcW w:w="3274" w:type="dxa"/>
                  <w:vAlign w:val="center"/>
                </w:tcPr>
                <w:p>
                  <w:pPr>
                    <w:adjustRightInd w:val="0"/>
                    <w:snapToGrid w:val="0"/>
                    <w:spacing w:line="360" w:lineRule="auto"/>
                    <w:ind w:firstLine="90" w:firstLineChars="43"/>
                    <w:jc w:val="center"/>
                    <w:rPr>
                      <w:sz w:val="21"/>
                      <w:szCs w:val="21"/>
                    </w:rPr>
                  </w:pPr>
                  <w:r>
                    <w:rPr>
                      <w:sz w:val="21"/>
                      <w:szCs w:val="21"/>
                    </w:rPr>
                    <w:t>55</w:t>
                  </w:r>
                </w:p>
              </w:tc>
            </w:tr>
          </w:tbl>
          <w:p>
            <w:pPr>
              <w:adjustRightInd w:val="0"/>
              <w:snapToGrid w:val="0"/>
              <w:spacing w:beforeLines="50" w:line="360" w:lineRule="auto"/>
              <w:ind w:firstLine="480" w:firstLineChars="200"/>
            </w:pPr>
            <w:r>
              <w:rPr>
                <w:rFonts w:hint="eastAsia"/>
              </w:rPr>
              <w:t>项目运营期污水处理厂产生的</w:t>
            </w:r>
            <w:r>
              <w:t>噪声执行《工业企业厂界环境噪声排放准》（GB 12348-2008）2类标准</w:t>
            </w:r>
            <w:r>
              <w:rPr>
                <w:rFonts w:hint="eastAsia"/>
              </w:rPr>
              <w:t>，</w:t>
            </w:r>
            <w:r>
              <w:t>标准值见表</w:t>
            </w:r>
            <w:r>
              <w:rPr>
                <w:rFonts w:hint="eastAsia"/>
              </w:rPr>
              <w:t>4-9</w:t>
            </w:r>
            <w:r>
              <w:t>。</w:t>
            </w:r>
          </w:p>
          <w:p>
            <w:pPr>
              <w:pStyle w:val="17"/>
              <w:adjustRightInd w:val="0"/>
              <w:snapToGrid w:val="0"/>
              <w:spacing w:line="360" w:lineRule="auto"/>
              <w:ind w:firstLine="1476" w:firstLineChars="700"/>
              <w:rPr>
                <w:rFonts w:ascii="Times New Roman" w:hAnsi="Times New Roman"/>
                <w:b/>
                <w:bCs/>
                <w:sz w:val="21"/>
                <w:szCs w:val="21"/>
                <w:lang w:val="zh-CN"/>
              </w:rPr>
            </w:pPr>
            <w:r>
              <w:rPr>
                <w:rFonts w:ascii="Times New Roman" w:hAnsi="Times New Roman"/>
                <w:b/>
                <w:bCs/>
                <w:sz w:val="21"/>
                <w:szCs w:val="21"/>
                <w:lang w:val="zh-CN"/>
              </w:rPr>
              <w:t>表</w:t>
            </w:r>
            <w:r>
              <w:rPr>
                <w:rFonts w:hint="eastAsia" w:ascii="Times New Roman" w:hAnsi="Times New Roman"/>
                <w:b/>
                <w:bCs/>
                <w:sz w:val="21"/>
                <w:szCs w:val="21"/>
              </w:rPr>
              <w:t>4-9</w:t>
            </w:r>
            <w:r>
              <w:rPr>
                <w:rFonts w:ascii="Times New Roman" w:hAnsi="Times New Roman"/>
                <w:b/>
                <w:bCs/>
                <w:sz w:val="21"/>
                <w:szCs w:val="21"/>
                <w:lang w:val="zh-CN"/>
              </w:rPr>
              <w:t xml:space="preserve">  工业企业厂界环境噪声排放标准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5"/>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10" w:type="dxa"/>
                  <w:vAlign w:val="center"/>
                </w:tcPr>
                <w:p>
                  <w:pPr>
                    <w:adjustRightInd w:val="0"/>
                    <w:snapToGrid w:val="0"/>
                    <w:spacing w:line="360" w:lineRule="auto"/>
                    <w:jc w:val="center"/>
                    <w:rPr>
                      <w:b/>
                      <w:sz w:val="21"/>
                      <w:szCs w:val="21"/>
                    </w:rPr>
                  </w:pPr>
                  <w:r>
                    <w:rPr>
                      <w:b/>
                      <w:sz w:val="21"/>
                      <w:szCs w:val="21"/>
                    </w:rPr>
                    <w:t>类别</w:t>
                  </w:r>
                </w:p>
              </w:tc>
              <w:tc>
                <w:tcPr>
                  <w:tcW w:w="2275" w:type="dxa"/>
                  <w:vAlign w:val="center"/>
                </w:tcPr>
                <w:p>
                  <w:pPr>
                    <w:adjustRightInd w:val="0"/>
                    <w:snapToGrid w:val="0"/>
                    <w:spacing w:line="360" w:lineRule="auto"/>
                    <w:jc w:val="center"/>
                    <w:rPr>
                      <w:b/>
                      <w:sz w:val="21"/>
                      <w:szCs w:val="21"/>
                    </w:rPr>
                  </w:pPr>
                  <w:r>
                    <w:rPr>
                      <w:b/>
                      <w:sz w:val="21"/>
                      <w:szCs w:val="21"/>
                    </w:rPr>
                    <w:t>昼间</w:t>
                  </w:r>
                </w:p>
              </w:tc>
              <w:tc>
                <w:tcPr>
                  <w:tcW w:w="2192" w:type="dxa"/>
                  <w:vAlign w:val="center"/>
                </w:tcPr>
                <w:p>
                  <w:pPr>
                    <w:adjustRightInd w:val="0"/>
                    <w:snapToGrid w:val="0"/>
                    <w:spacing w:line="360" w:lineRule="auto"/>
                    <w:jc w:val="center"/>
                    <w:rPr>
                      <w:b/>
                      <w:sz w:val="21"/>
                      <w:szCs w:val="21"/>
                    </w:rPr>
                  </w:pPr>
                  <w:r>
                    <w:rPr>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10" w:type="dxa"/>
                  <w:vAlign w:val="center"/>
                </w:tcPr>
                <w:p>
                  <w:pPr>
                    <w:adjustRightInd w:val="0"/>
                    <w:snapToGrid w:val="0"/>
                    <w:spacing w:line="360" w:lineRule="auto"/>
                    <w:ind w:firstLine="90" w:firstLineChars="43"/>
                    <w:jc w:val="center"/>
                    <w:rPr>
                      <w:sz w:val="21"/>
                      <w:szCs w:val="21"/>
                    </w:rPr>
                  </w:pPr>
                  <w:r>
                    <w:rPr>
                      <w:sz w:val="21"/>
                      <w:szCs w:val="21"/>
                    </w:rPr>
                    <w:t>2类</w:t>
                  </w:r>
                </w:p>
              </w:tc>
              <w:tc>
                <w:tcPr>
                  <w:tcW w:w="2275" w:type="dxa"/>
                  <w:vAlign w:val="center"/>
                </w:tcPr>
                <w:p>
                  <w:pPr>
                    <w:adjustRightInd w:val="0"/>
                    <w:snapToGrid w:val="0"/>
                    <w:spacing w:line="360" w:lineRule="auto"/>
                    <w:ind w:firstLine="90" w:firstLineChars="43"/>
                    <w:jc w:val="center"/>
                    <w:rPr>
                      <w:sz w:val="21"/>
                      <w:szCs w:val="21"/>
                    </w:rPr>
                  </w:pPr>
                  <w:r>
                    <w:rPr>
                      <w:sz w:val="21"/>
                      <w:szCs w:val="21"/>
                    </w:rPr>
                    <w:t>60</w:t>
                  </w:r>
                </w:p>
              </w:tc>
              <w:tc>
                <w:tcPr>
                  <w:tcW w:w="2192" w:type="dxa"/>
                  <w:vAlign w:val="center"/>
                </w:tcPr>
                <w:p>
                  <w:pPr>
                    <w:adjustRightInd w:val="0"/>
                    <w:snapToGrid w:val="0"/>
                    <w:spacing w:line="360" w:lineRule="auto"/>
                    <w:ind w:firstLine="90" w:firstLineChars="43"/>
                    <w:jc w:val="center"/>
                    <w:rPr>
                      <w:sz w:val="21"/>
                      <w:szCs w:val="21"/>
                    </w:rPr>
                  </w:pPr>
                  <w:r>
                    <w:rPr>
                      <w:sz w:val="21"/>
                      <w:szCs w:val="21"/>
                    </w:rPr>
                    <w:t>50</w:t>
                  </w:r>
                </w:p>
              </w:tc>
            </w:tr>
          </w:tbl>
          <w:p>
            <w:pPr>
              <w:adjustRightInd w:val="0"/>
              <w:snapToGrid w:val="0"/>
              <w:spacing w:beforeLines="50" w:line="360" w:lineRule="auto"/>
              <w:ind w:firstLine="482" w:firstLineChars="200"/>
              <w:rPr>
                <w:b/>
                <w:bCs/>
              </w:rPr>
            </w:pPr>
            <w:r>
              <w:rPr>
                <w:rFonts w:hint="eastAsia"/>
                <w:b/>
                <w:bCs/>
              </w:rPr>
              <w:t>4、固体废弃物控制标准</w:t>
            </w:r>
          </w:p>
          <w:p>
            <w:pPr>
              <w:adjustRightInd w:val="0"/>
              <w:snapToGrid w:val="0"/>
              <w:spacing w:line="360" w:lineRule="auto"/>
              <w:ind w:firstLine="480" w:firstLineChars="200"/>
            </w:pPr>
            <w:r>
              <w:t>项目</w:t>
            </w:r>
            <w:r>
              <w:rPr>
                <w:rFonts w:hint="eastAsia"/>
              </w:rPr>
              <w:t>运营期污水处理厂产生的</w:t>
            </w:r>
            <w:r>
              <w:t>污泥</w:t>
            </w:r>
            <w:r>
              <w:rPr>
                <w:rFonts w:hint="eastAsia"/>
              </w:rPr>
              <w:t>应进行稳定化和脱水处理，稳定化处理后达到</w:t>
            </w:r>
            <w:r>
              <w:t xml:space="preserve"> 《城镇污水处理厂污染物排放标准》</w:t>
            </w:r>
            <w:r>
              <w:rPr>
                <w:rFonts w:hint="eastAsia"/>
              </w:rPr>
              <w:t>（</w:t>
            </w:r>
            <w:r>
              <w:t>GB18918—2002</w:t>
            </w:r>
            <w:r>
              <w:rPr>
                <w:rFonts w:hint="eastAsia"/>
              </w:rPr>
              <w:t>）表5规定的限值，脱水后污泥含水率应小于80%，</w:t>
            </w:r>
            <w:r>
              <w:t>标准值见表</w:t>
            </w:r>
            <w:r>
              <w:rPr>
                <w:rFonts w:hint="eastAsia"/>
              </w:rPr>
              <w:t>4-10；运行期设备产生的废机油临时贮存执行《危险废物贮存污染控制标准》 （GB18597-2001）及其 2013 年修改单要求。</w:t>
            </w:r>
          </w:p>
          <w:p>
            <w:pPr>
              <w:adjustRightInd w:val="0"/>
              <w:snapToGrid w:val="0"/>
              <w:spacing w:line="360" w:lineRule="auto"/>
              <w:jc w:val="center"/>
              <w:rPr>
                <w:b/>
                <w:bCs/>
                <w:sz w:val="21"/>
                <w:szCs w:val="16"/>
              </w:rPr>
            </w:pPr>
            <w:r>
              <w:rPr>
                <w:rFonts w:hint="eastAsia"/>
                <w:b/>
                <w:bCs/>
                <w:sz w:val="21"/>
                <w:szCs w:val="16"/>
              </w:rPr>
              <w:t>表 4-10 污泥稳定化控制指标</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2722"/>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pStyle w:val="17"/>
                    <w:jc w:val="center"/>
                    <w:rPr>
                      <w:rFonts w:ascii="Times New Roman" w:hAnsi="Times New Roman"/>
                      <w:b/>
                      <w:bCs/>
                      <w:sz w:val="21"/>
                      <w:szCs w:val="21"/>
                    </w:rPr>
                  </w:pPr>
                  <w:r>
                    <w:rPr>
                      <w:rFonts w:hAnsi="宋体"/>
                      <w:b/>
                      <w:bCs/>
                      <w:sz w:val="21"/>
                      <w:szCs w:val="21"/>
                    </w:rPr>
                    <w:t>稳定化方法</w:t>
                  </w:r>
                </w:p>
              </w:tc>
              <w:tc>
                <w:tcPr>
                  <w:tcW w:w="2722" w:type="dxa"/>
                  <w:vAlign w:val="center"/>
                </w:tcPr>
                <w:p>
                  <w:pPr>
                    <w:pStyle w:val="17"/>
                    <w:jc w:val="center"/>
                    <w:rPr>
                      <w:rFonts w:ascii="Times New Roman" w:hAnsi="Times New Roman"/>
                      <w:b/>
                      <w:bCs/>
                      <w:sz w:val="21"/>
                      <w:szCs w:val="21"/>
                    </w:rPr>
                  </w:pPr>
                  <w:r>
                    <w:rPr>
                      <w:rFonts w:hAnsi="宋体"/>
                      <w:b/>
                      <w:bCs/>
                      <w:w w:val="99"/>
                      <w:sz w:val="21"/>
                      <w:szCs w:val="21"/>
                    </w:rPr>
                    <w:t>控制项目</w:t>
                  </w:r>
                </w:p>
              </w:tc>
              <w:tc>
                <w:tcPr>
                  <w:tcW w:w="2723" w:type="dxa"/>
                  <w:vAlign w:val="center"/>
                </w:tcPr>
                <w:p>
                  <w:pPr>
                    <w:pStyle w:val="17"/>
                    <w:jc w:val="center"/>
                    <w:rPr>
                      <w:rFonts w:ascii="Times New Roman" w:hAnsi="Times New Roman"/>
                      <w:b/>
                      <w:bCs/>
                      <w:sz w:val="21"/>
                      <w:szCs w:val="21"/>
                    </w:rPr>
                  </w:pPr>
                  <w:r>
                    <w:rPr>
                      <w:rFonts w:hAnsi="宋体"/>
                      <w:b/>
                      <w:bCs/>
                      <w:w w:val="99"/>
                      <w:sz w:val="21"/>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1" w:type="dxa"/>
                  <w:vAlign w:val="center"/>
                </w:tcPr>
                <w:p>
                  <w:pPr>
                    <w:pStyle w:val="17"/>
                    <w:jc w:val="center"/>
                    <w:rPr>
                      <w:rFonts w:ascii="Times New Roman" w:hAnsi="Times New Roman"/>
                      <w:sz w:val="21"/>
                      <w:szCs w:val="21"/>
                    </w:rPr>
                  </w:pPr>
                  <w:r>
                    <w:rPr>
                      <w:rFonts w:hAnsi="宋体"/>
                      <w:sz w:val="21"/>
                      <w:szCs w:val="21"/>
                    </w:rPr>
                    <w:t>厌氧消化</w:t>
                  </w:r>
                </w:p>
              </w:tc>
              <w:tc>
                <w:tcPr>
                  <w:tcW w:w="2722" w:type="dxa"/>
                  <w:vAlign w:val="center"/>
                </w:tcPr>
                <w:p>
                  <w:pPr>
                    <w:pStyle w:val="17"/>
                    <w:jc w:val="center"/>
                    <w:rPr>
                      <w:rFonts w:ascii="Times New Roman" w:hAnsi="Times New Roman"/>
                      <w:sz w:val="21"/>
                      <w:szCs w:val="21"/>
                    </w:rPr>
                  </w:pPr>
                  <w:r>
                    <w:rPr>
                      <w:rFonts w:hAnsi="宋体"/>
                      <w:sz w:val="21"/>
                      <w:szCs w:val="21"/>
                    </w:rPr>
                    <w:t>有</w:t>
                  </w:r>
                  <w:r>
                    <w:rPr>
                      <w:rFonts w:hint="eastAsia" w:hAnsi="宋体"/>
                      <w:sz w:val="21"/>
                      <w:szCs w:val="21"/>
                    </w:rPr>
                    <w:t>机</w:t>
                  </w:r>
                  <w:r>
                    <w:rPr>
                      <w:rFonts w:hAnsi="宋体"/>
                      <w:sz w:val="21"/>
                      <w:szCs w:val="21"/>
                    </w:rPr>
                    <w:t>物降解率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pStyle w:val="17"/>
                    <w:jc w:val="center"/>
                    <w:rPr>
                      <w:rFonts w:ascii="Times New Roman" w:hAnsi="Times New Roman"/>
                      <w:sz w:val="21"/>
                      <w:szCs w:val="21"/>
                    </w:rPr>
                  </w:pPr>
                  <w:r>
                    <w:rPr>
                      <w:rFonts w:hAnsi="宋体"/>
                      <w:sz w:val="21"/>
                      <w:szCs w:val="21"/>
                    </w:rPr>
                    <w:t>好氧消化</w:t>
                  </w:r>
                </w:p>
              </w:tc>
              <w:tc>
                <w:tcPr>
                  <w:tcW w:w="2722" w:type="dxa"/>
                  <w:vAlign w:val="center"/>
                </w:tcPr>
                <w:p>
                  <w:pPr>
                    <w:pStyle w:val="17"/>
                    <w:jc w:val="center"/>
                    <w:rPr>
                      <w:rFonts w:ascii="Times New Roman" w:hAnsi="Times New Roman"/>
                      <w:sz w:val="21"/>
                      <w:szCs w:val="21"/>
                    </w:rPr>
                  </w:pPr>
                  <w:r>
                    <w:rPr>
                      <w:rFonts w:hAnsi="宋体"/>
                      <w:sz w:val="21"/>
                      <w:szCs w:val="21"/>
                    </w:rPr>
                    <w:t>有</w:t>
                  </w:r>
                  <w:r>
                    <w:rPr>
                      <w:rFonts w:hint="eastAsia" w:hAnsi="宋体"/>
                      <w:sz w:val="21"/>
                      <w:szCs w:val="21"/>
                    </w:rPr>
                    <w:t>机</w:t>
                  </w:r>
                  <w:r>
                    <w:rPr>
                      <w:rFonts w:hAnsi="宋体"/>
                      <w:sz w:val="21"/>
                      <w:szCs w:val="21"/>
                    </w:rPr>
                    <w:t>物降解率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1" w:type="dxa"/>
                  <w:vMerge w:val="restart"/>
                  <w:vAlign w:val="center"/>
                </w:tcPr>
                <w:p>
                  <w:pPr>
                    <w:pStyle w:val="17"/>
                    <w:jc w:val="center"/>
                    <w:rPr>
                      <w:rFonts w:ascii="Times New Roman" w:hAnsi="Times New Roman"/>
                      <w:sz w:val="21"/>
                      <w:szCs w:val="21"/>
                    </w:rPr>
                  </w:pPr>
                  <w:r>
                    <w:rPr>
                      <w:rFonts w:hAnsi="宋体"/>
                      <w:sz w:val="21"/>
                      <w:szCs w:val="21"/>
                    </w:rPr>
                    <w:t>好氧堆肥</w:t>
                  </w:r>
                </w:p>
              </w:tc>
              <w:tc>
                <w:tcPr>
                  <w:tcW w:w="2722" w:type="dxa"/>
                  <w:vAlign w:val="center"/>
                </w:tcPr>
                <w:p>
                  <w:pPr>
                    <w:pStyle w:val="17"/>
                    <w:jc w:val="center"/>
                    <w:rPr>
                      <w:rFonts w:ascii="Times New Roman" w:hAnsi="Times New Roman"/>
                      <w:sz w:val="21"/>
                      <w:szCs w:val="21"/>
                    </w:rPr>
                  </w:pPr>
                  <w:r>
                    <w:rPr>
                      <w:rFonts w:hAnsi="宋体"/>
                      <w:sz w:val="21"/>
                      <w:szCs w:val="21"/>
                    </w:rPr>
                    <w:t>含水率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Merge w:val="continue"/>
                  <w:vAlign w:val="center"/>
                </w:tcPr>
                <w:p>
                  <w:pPr>
                    <w:pStyle w:val="17"/>
                    <w:jc w:val="center"/>
                    <w:rPr>
                      <w:rFonts w:ascii="Times New Roman" w:hAnsi="Times New Roman"/>
                      <w:sz w:val="21"/>
                      <w:szCs w:val="21"/>
                    </w:rPr>
                  </w:pPr>
                </w:p>
              </w:tc>
              <w:tc>
                <w:tcPr>
                  <w:tcW w:w="2722" w:type="dxa"/>
                  <w:vAlign w:val="center"/>
                </w:tcPr>
                <w:p>
                  <w:pPr>
                    <w:pStyle w:val="17"/>
                    <w:jc w:val="center"/>
                    <w:rPr>
                      <w:rFonts w:ascii="Times New Roman" w:hAnsi="Times New Roman"/>
                      <w:sz w:val="21"/>
                      <w:szCs w:val="21"/>
                    </w:rPr>
                  </w:pPr>
                  <w:r>
                    <w:rPr>
                      <w:rFonts w:hAnsi="宋体"/>
                      <w:sz w:val="21"/>
                      <w:szCs w:val="21"/>
                    </w:rPr>
                    <w:t>有</w:t>
                  </w:r>
                  <w:r>
                    <w:rPr>
                      <w:rFonts w:hint="eastAsia" w:hAnsi="宋体"/>
                      <w:sz w:val="21"/>
                      <w:szCs w:val="21"/>
                    </w:rPr>
                    <w:t>机</w:t>
                  </w:r>
                  <w:r>
                    <w:rPr>
                      <w:rFonts w:hAnsi="宋体"/>
                      <w:sz w:val="21"/>
                      <w:szCs w:val="21"/>
                    </w:rPr>
                    <w:t>物降解率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1" w:type="dxa"/>
                  <w:vMerge w:val="continue"/>
                  <w:vAlign w:val="center"/>
                </w:tcPr>
                <w:p>
                  <w:pPr>
                    <w:pStyle w:val="17"/>
                    <w:jc w:val="center"/>
                    <w:rPr>
                      <w:rFonts w:ascii="Times New Roman" w:hAnsi="Times New Roman"/>
                      <w:sz w:val="21"/>
                      <w:szCs w:val="21"/>
                    </w:rPr>
                  </w:pPr>
                </w:p>
              </w:tc>
              <w:tc>
                <w:tcPr>
                  <w:tcW w:w="2722" w:type="dxa"/>
                  <w:vAlign w:val="center"/>
                </w:tcPr>
                <w:p>
                  <w:pPr>
                    <w:pStyle w:val="17"/>
                    <w:jc w:val="center"/>
                    <w:rPr>
                      <w:rFonts w:hAnsi="宋体"/>
                      <w:sz w:val="21"/>
                      <w:szCs w:val="21"/>
                    </w:rPr>
                  </w:pPr>
                  <w:r>
                    <w:rPr>
                      <w:rFonts w:hAnsi="宋体"/>
                      <w:sz w:val="21"/>
                      <w:szCs w:val="21"/>
                    </w:rPr>
                    <w:t>蠕虫卵死亡率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Merge w:val="continue"/>
                  <w:vAlign w:val="center"/>
                </w:tcPr>
                <w:p>
                  <w:pPr>
                    <w:pStyle w:val="17"/>
                    <w:jc w:val="center"/>
                    <w:rPr>
                      <w:rFonts w:ascii="Times New Roman" w:hAnsi="Times New Roman"/>
                      <w:sz w:val="21"/>
                      <w:szCs w:val="21"/>
                    </w:rPr>
                  </w:pPr>
                </w:p>
              </w:tc>
              <w:tc>
                <w:tcPr>
                  <w:tcW w:w="2722" w:type="dxa"/>
                  <w:vAlign w:val="center"/>
                </w:tcPr>
                <w:p>
                  <w:pPr>
                    <w:pStyle w:val="17"/>
                    <w:jc w:val="center"/>
                    <w:rPr>
                      <w:rFonts w:hAnsi="宋体"/>
                      <w:sz w:val="21"/>
                      <w:szCs w:val="21"/>
                    </w:rPr>
                  </w:pPr>
                  <w:r>
                    <w:rPr>
                      <w:rFonts w:hAnsi="宋体"/>
                      <w:sz w:val="21"/>
                      <w:szCs w:val="21"/>
                    </w:rPr>
                    <w:t>粪大肠菌群菌值</w:t>
                  </w:r>
                </w:p>
              </w:tc>
              <w:tc>
                <w:tcPr>
                  <w:tcW w:w="2723" w:type="dxa"/>
                  <w:vAlign w:val="center"/>
                </w:tcPr>
                <w:p>
                  <w:pPr>
                    <w:pStyle w:val="17"/>
                    <w:jc w:val="center"/>
                    <w:rPr>
                      <w:rFonts w:ascii="Times New Roman" w:hAnsi="Times New Roman"/>
                      <w:sz w:val="21"/>
                      <w:szCs w:val="21"/>
                    </w:rPr>
                  </w:pPr>
                  <w:r>
                    <w:rPr>
                      <w:rFonts w:ascii="MS PGothic" w:hAnsi="MS PGothic" w:eastAsia="MS PGothic"/>
                      <w:sz w:val="21"/>
                      <w:szCs w:val="21"/>
                    </w:rPr>
                    <w:t>＞</w:t>
                  </w:r>
                  <w:r>
                    <w:rPr>
                      <w:rFonts w:ascii="Times New Roman" w:hAnsi="Times New Roman" w:eastAsia="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1" w:type="dxa"/>
                  <w:vAlign w:val="center"/>
                </w:tcPr>
                <w:p>
                  <w:pPr>
                    <w:pStyle w:val="17"/>
                    <w:jc w:val="center"/>
                    <w:rPr>
                      <w:rFonts w:ascii="Times New Roman" w:hAnsi="Times New Roman"/>
                      <w:sz w:val="21"/>
                      <w:szCs w:val="21"/>
                    </w:rPr>
                  </w:pPr>
                  <w:r>
                    <w:rPr>
                      <w:rFonts w:hint="eastAsia" w:ascii="Times New Roman" w:hAnsi="Times New Roman"/>
                      <w:sz w:val="21"/>
                      <w:szCs w:val="21"/>
                    </w:rPr>
                    <w:t>污泥脱水处理</w:t>
                  </w:r>
                </w:p>
              </w:tc>
              <w:tc>
                <w:tcPr>
                  <w:tcW w:w="2722" w:type="dxa"/>
                  <w:vAlign w:val="center"/>
                </w:tcPr>
                <w:p>
                  <w:pPr>
                    <w:pStyle w:val="17"/>
                    <w:jc w:val="center"/>
                    <w:rPr>
                      <w:rFonts w:ascii="Times New Roman" w:hAnsi="Times New Roman"/>
                      <w:sz w:val="21"/>
                      <w:szCs w:val="21"/>
                    </w:rPr>
                  </w:pPr>
                  <w:r>
                    <w:rPr>
                      <w:rFonts w:hint="eastAsia" w:ascii="Times New Roman" w:hAnsi="Times New Roman"/>
                      <w:sz w:val="21"/>
                      <w:szCs w:val="21"/>
                    </w:rPr>
                    <w:t>污泥含水率</w:t>
                  </w:r>
                </w:p>
              </w:tc>
              <w:tc>
                <w:tcPr>
                  <w:tcW w:w="2723" w:type="dxa"/>
                  <w:vAlign w:val="center"/>
                </w:tcPr>
                <w:p>
                  <w:pPr>
                    <w:pStyle w:val="17"/>
                    <w:jc w:val="center"/>
                    <w:rPr>
                      <w:rFonts w:ascii="Times New Roman" w:hAnsi="Times New Roman"/>
                      <w:sz w:val="21"/>
                      <w:szCs w:val="21"/>
                    </w:rPr>
                  </w:pPr>
                  <w:r>
                    <w:rPr>
                      <w:rFonts w:hint="eastAsia" w:ascii="Times New Roman" w:hAnsi="Times New Roman"/>
                      <w:sz w:val="21"/>
                      <w:szCs w:val="21"/>
                    </w:rPr>
                    <w:t>&lt;80%</w:t>
                  </w:r>
                </w:p>
              </w:tc>
            </w:tr>
          </w:tbl>
          <w:p>
            <w:pPr>
              <w:pStyle w:val="17"/>
              <w:rPr>
                <w:rFonts w:ascii="Times New Roman" w:hAnsi="Times New Roman"/>
              </w:rPr>
            </w:pPr>
            <w:r>
              <w:pict>
                <v:line id="直线 59" o:spid="_x0000_s2055" o:spt="20" style="position:absolute;left:0pt;margin-left:-27.85pt;margin-top:15.25pt;height:0.05pt;width:442.05pt;z-index:251666432;mso-width-relative:page;mso-height-relative:page;" filled="t" coordsize="21600,21600">
                  <v:path arrowok="t"/>
                  <v:fill on="t" focussize="0,0"/>
                  <v:stroke/>
                  <v:imagedata o:title=""/>
                  <o:lock v:ext="edit"/>
                </v:line>
              </w:pict>
            </w:r>
          </w:p>
          <w:p>
            <w:pPr>
              <w:spacing w:line="176" w:lineRule="exact"/>
              <w:rPr>
                <w:rFonts w:eastAsia="Times New Roman"/>
              </w:rPr>
            </w:pPr>
          </w:p>
          <w:p>
            <w:pPr>
              <w:spacing w:line="360" w:lineRule="auto"/>
              <w:ind w:firstLine="480" w:firstLineChars="200"/>
            </w:pPr>
            <w:r>
              <w:pict>
                <v:shape id="文本框 60" o:spid="_x0000_s2056" o:spt="202" type="#_x0000_t202" style="position:absolute;left:0pt;margin-left:-28.8pt;margin-top:46.75pt;height:142.5pt;width:36.15pt;z-index:-251656192;mso-width-relative:page;mso-height-relative:page;" stroked="f" coordsize="21600,21600">
                  <v:path/>
                  <v:fill focussize="0,0"/>
                  <v:stroke on="f" weight="1.25pt" joinstyle="miter"/>
                  <v:imagedata o:title=""/>
                  <o:lock v:ext="edit"/>
                  <v:textbox style="layout-flow:vertical-ideographic;">
                    <w:txbxContent>
                      <w:p>
                        <w:pPr>
                          <w:jc w:val="left"/>
                          <w:rPr>
                            <w:b/>
                            <w:bCs/>
                            <w:sz w:val="28"/>
                            <w:szCs w:val="21"/>
                          </w:rPr>
                        </w:pPr>
                        <w:r>
                          <w:rPr>
                            <w:rFonts w:hint="eastAsia"/>
                            <w:b/>
                            <w:bCs/>
                            <w:sz w:val="28"/>
                            <w:szCs w:val="21"/>
                          </w:rPr>
                          <w:t>总 量 控 制 指 标</w:t>
                        </w:r>
                      </w:p>
                    </w:txbxContent>
                  </v:textbox>
                </v:shape>
              </w:pict>
            </w:r>
            <w:r>
              <w:rPr>
                <w:rFonts w:hint="eastAsia"/>
              </w:rPr>
              <w:t>本项目作为污水集中收集处理工程项目，污水处理厂出水达标后，尾水排入人工湿地。根据工程分析核算，项目邓川、右所污水厂提标改造已及牛街厂新建后，对主要污染物的排放量如下：</w:t>
            </w:r>
          </w:p>
          <w:p>
            <w:pPr>
              <w:pStyle w:val="2"/>
              <w:spacing w:line="360" w:lineRule="auto"/>
              <w:ind w:firstLine="480" w:firstLineChars="200"/>
              <w:jc w:val="both"/>
              <w:rPr>
                <w:szCs w:val="24"/>
              </w:rPr>
            </w:pPr>
            <w:r>
              <w:rPr>
                <w:rFonts w:hint="eastAsia"/>
                <w:szCs w:val="24"/>
              </w:rPr>
              <w:t>1、废水</w:t>
            </w:r>
          </w:p>
          <w:p>
            <w:pPr>
              <w:pStyle w:val="2"/>
              <w:spacing w:line="360" w:lineRule="auto"/>
              <w:ind w:firstLine="480" w:firstLineChars="200"/>
              <w:jc w:val="both"/>
              <w:rPr>
                <w:szCs w:val="24"/>
              </w:rPr>
            </w:pPr>
            <w:r>
              <w:rPr>
                <w:rFonts w:hint="eastAsia"/>
                <w:szCs w:val="24"/>
              </w:rPr>
              <w:t>（1）牛街污水处理厂</w:t>
            </w:r>
          </w:p>
          <w:p>
            <w:pPr>
              <w:pStyle w:val="2"/>
              <w:spacing w:line="360" w:lineRule="auto"/>
              <w:ind w:firstLine="480" w:firstLineChars="200"/>
              <w:jc w:val="both"/>
              <w:rPr>
                <w:szCs w:val="24"/>
              </w:rPr>
            </w:pPr>
            <w:r>
              <w:rPr>
                <w:rFonts w:hint="eastAsia"/>
                <w:szCs w:val="24"/>
              </w:rPr>
              <w:t>废水量：36.5万m</w:t>
            </w:r>
            <w:r>
              <w:rPr>
                <w:rFonts w:hint="eastAsia"/>
                <w:szCs w:val="24"/>
                <w:vertAlign w:val="superscript"/>
              </w:rPr>
              <w:t>3</w:t>
            </w:r>
            <w:r>
              <w:rPr>
                <w:rFonts w:hint="eastAsia"/>
                <w:szCs w:val="24"/>
              </w:rPr>
              <w:t xml:space="preserve"> /a；COD：10.95t/a；氨氮：0.5475t/a；</w:t>
            </w:r>
          </w:p>
          <w:p>
            <w:pPr>
              <w:pStyle w:val="2"/>
              <w:spacing w:line="360" w:lineRule="auto"/>
              <w:ind w:firstLine="480" w:firstLineChars="200"/>
              <w:jc w:val="both"/>
              <w:rPr>
                <w:b/>
                <w:bCs/>
                <w:sz w:val="21"/>
                <w:szCs w:val="16"/>
              </w:rPr>
            </w:pPr>
            <w:r>
              <w:rPr>
                <w:rFonts w:hint="eastAsia"/>
                <w:szCs w:val="24"/>
              </w:rPr>
              <w:t>（2）邓川污水处理厂</w:t>
            </w:r>
          </w:p>
          <w:p>
            <w:pPr>
              <w:pStyle w:val="2"/>
              <w:spacing w:line="360" w:lineRule="auto"/>
              <w:ind w:firstLine="480" w:firstLineChars="200"/>
              <w:jc w:val="both"/>
              <w:rPr>
                <w:szCs w:val="24"/>
              </w:rPr>
            </w:pPr>
            <w:r>
              <w:rPr>
                <w:rFonts w:hint="eastAsia"/>
                <w:szCs w:val="24"/>
              </w:rPr>
              <w:t>废水量：73万m</w:t>
            </w:r>
            <w:r>
              <w:rPr>
                <w:rFonts w:hint="eastAsia"/>
                <w:szCs w:val="24"/>
                <w:vertAlign w:val="superscript"/>
              </w:rPr>
              <w:t>3</w:t>
            </w:r>
            <w:r>
              <w:rPr>
                <w:rFonts w:hint="eastAsia"/>
                <w:szCs w:val="24"/>
              </w:rPr>
              <w:t xml:space="preserve"> /a；COD：21.90t/a；氨氮：1.095t/a；</w:t>
            </w:r>
          </w:p>
          <w:p>
            <w:pPr>
              <w:pStyle w:val="2"/>
              <w:spacing w:line="360" w:lineRule="auto"/>
              <w:ind w:firstLine="480" w:firstLineChars="200"/>
              <w:jc w:val="both"/>
              <w:rPr>
                <w:szCs w:val="24"/>
              </w:rPr>
            </w:pPr>
            <w:r>
              <w:rPr>
                <w:rFonts w:hint="eastAsia"/>
                <w:szCs w:val="24"/>
              </w:rPr>
              <w:t>（3）右所污水处理厂</w:t>
            </w:r>
          </w:p>
          <w:p>
            <w:pPr>
              <w:pStyle w:val="2"/>
              <w:spacing w:line="360" w:lineRule="auto"/>
              <w:ind w:firstLine="480" w:firstLineChars="200"/>
              <w:jc w:val="both"/>
              <w:rPr>
                <w:szCs w:val="24"/>
              </w:rPr>
            </w:pPr>
            <w:r>
              <w:rPr>
                <w:rFonts w:hint="eastAsia"/>
                <w:szCs w:val="24"/>
              </w:rPr>
              <w:t>废水量：36.5万m</w:t>
            </w:r>
            <w:r>
              <w:rPr>
                <w:rFonts w:hint="eastAsia"/>
                <w:szCs w:val="24"/>
                <w:vertAlign w:val="superscript"/>
              </w:rPr>
              <w:t>3</w:t>
            </w:r>
            <w:r>
              <w:rPr>
                <w:rFonts w:hint="eastAsia"/>
                <w:szCs w:val="24"/>
              </w:rPr>
              <w:t xml:space="preserve"> /a；COD：10.95t/a；氨氮：0.5475t/a；</w:t>
            </w:r>
          </w:p>
          <w:p>
            <w:pPr>
              <w:pStyle w:val="2"/>
              <w:spacing w:line="360" w:lineRule="auto"/>
              <w:ind w:firstLine="480" w:firstLineChars="200"/>
              <w:jc w:val="both"/>
              <w:rPr>
                <w:szCs w:val="24"/>
              </w:rPr>
            </w:pPr>
          </w:p>
          <w:p>
            <w:pPr>
              <w:pStyle w:val="2"/>
              <w:spacing w:line="360" w:lineRule="auto"/>
              <w:ind w:firstLine="480" w:firstLineChars="200"/>
              <w:jc w:val="both"/>
              <w:rPr>
                <w:szCs w:val="24"/>
              </w:rPr>
            </w:pPr>
            <w:r>
              <w:rPr>
                <w:szCs w:val="24"/>
              </w:rPr>
              <w:t>2、废气</w:t>
            </w:r>
          </w:p>
          <w:p>
            <w:pPr>
              <w:spacing w:line="360" w:lineRule="auto"/>
              <w:ind w:firstLine="480" w:firstLineChars="200"/>
              <w:rPr>
                <w:szCs w:val="24"/>
              </w:rPr>
            </w:pPr>
            <w:r>
              <w:rPr>
                <w:szCs w:val="24"/>
              </w:rPr>
              <w:t>本项目</w:t>
            </w:r>
            <w:r>
              <w:rPr>
                <w:rFonts w:hint="eastAsia"/>
                <w:szCs w:val="24"/>
              </w:rPr>
              <w:t>不涉及二氧化硫和氮氧化物产生</w:t>
            </w:r>
            <w:r>
              <w:rPr>
                <w:szCs w:val="24"/>
              </w:rPr>
              <w:t>，故不设废气总量控制标准。</w:t>
            </w:r>
          </w:p>
          <w:p>
            <w:pPr>
              <w:spacing w:line="360" w:lineRule="auto"/>
              <w:ind w:firstLine="480" w:firstLineChars="200"/>
              <w:rPr>
                <w:szCs w:val="24"/>
              </w:rPr>
            </w:pPr>
            <w:r>
              <w:rPr>
                <w:rFonts w:hint="eastAsia"/>
                <w:szCs w:val="24"/>
              </w:rPr>
              <w:t>3、</w:t>
            </w:r>
            <w:r>
              <w:rPr>
                <w:szCs w:val="24"/>
              </w:rPr>
              <w:t>固体废弃物</w:t>
            </w:r>
          </w:p>
          <w:p>
            <w:pPr>
              <w:spacing w:line="360" w:lineRule="auto"/>
              <w:ind w:firstLine="480" w:firstLineChars="200"/>
              <w:rPr>
                <w:szCs w:val="24"/>
              </w:rPr>
            </w:pPr>
            <w:r>
              <w:rPr>
                <w:szCs w:val="24"/>
              </w:rPr>
              <w:t>固体废物处置率为100%。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7" w:hRule="atLeast"/>
          <w:jc w:val="center"/>
        </w:trPr>
        <w:tc>
          <w:tcPr>
            <w:tcW w:w="498" w:type="dxa"/>
            <w:vAlign w:val="center"/>
          </w:tcPr>
          <w:p>
            <w:pPr>
              <w:pStyle w:val="28"/>
              <w:ind w:left="0" w:firstLine="0" w:firstLineChars="0"/>
              <w:rPr>
                <w:sz w:val="21"/>
                <w:szCs w:val="21"/>
              </w:rPr>
            </w:pPr>
            <w:r>
              <w:rPr>
                <w:rFonts w:hint="eastAsia"/>
                <w:b/>
                <w:bCs/>
                <w:sz w:val="28"/>
                <w:szCs w:val="28"/>
              </w:rPr>
              <w:t>污染物排放</w:t>
            </w:r>
            <w:r>
              <w:rPr>
                <w:b/>
                <w:bCs/>
                <w:sz w:val="28"/>
                <w:szCs w:val="28"/>
              </w:rPr>
              <w:t>标准</w:t>
            </w:r>
          </w:p>
        </w:tc>
        <w:tc>
          <w:tcPr>
            <w:tcW w:w="8392" w:type="dxa"/>
            <w:vMerge w:val="continue"/>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8" w:hRule="atLeast"/>
          <w:jc w:val="center"/>
        </w:trPr>
        <w:tc>
          <w:tcPr>
            <w:tcW w:w="498" w:type="dxa"/>
            <w:vAlign w:val="center"/>
          </w:tcPr>
          <w:p>
            <w:pPr>
              <w:pStyle w:val="28"/>
              <w:ind w:left="0" w:firstLine="0" w:firstLineChars="0"/>
              <w:rPr>
                <w:sz w:val="21"/>
                <w:szCs w:val="21"/>
              </w:rPr>
            </w:pPr>
          </w:p>
        </w:tc>
        <w:tc>
          <w:tcPr>
            <w:tcW w:w="8392" w:type="dxa"/>
            <w:vMerge w:val="continue"/>
          </w:tcPr>
          <w:p>
            <w:pPr>
              <w:rPr>
                <w:b/>
                <w:bCs/>
                <w:sz w:val="28"/>
                <w:szCs w:val="28"/>
              </w:rPr>
            </w:pPr>
          </w:p>
        </w:tc>
      </w:tr>
    </w:tbl>
    <w:p>
      <w:pPr>
        <w:pStyle w:val="5"/>
        <w:spacing w:before="0" w:after="0" w:line="240" w:lineRule="auto"/>
      </w:pPr>
      <w:bookmarkStart w:id="16" w:name="_Toc166"/>
      <w:r>
        <w:br w:type="page"/>
      </w:r>
      <w:r>
        <w:rPr>
          <w:rStyle w:val="57"/>
          <w:b w:val="0"/>
          <w:bCs/>
          <w:kern w:val="44"/>
          <w:szCs w:val="44"/>
        </w:rPr>
        <w:t>五</w:t>
      </w:r>
      <w:r>
        <w:rPr>
          <w:rStyle w:val="57"/>
          <w:rFonts w:hint="eastAsia"/>
          <w:b w:val="0"/>
          <w:bCs/>
          <w:kern w:val="44"/>
          <w:szCs w:val="44"/>
        </w:rPr>
        <w:t>、</w:t>
      </w:r>
      <w:r>
        <w:rPr>
          <w:rStyle w:val="57"/>
          <w:b w:val="0"/>
          <w:bCs/>
          <w:kern w:val="44"/>
          <w:szCs w:val="44"/>
        </w:rPr>
        <w:t>建设项目工程分析</w:t>
      </w:r>
      <w:bookmarkEnd w:id="16"/>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7" w:hRule="atLeast"/>
          <w:jc w:val="center"/>
        </w:trPr>
        <w:tc>
          <w:tcPr>
            <w:tcW w:w="9060" w:type="dxa"/>
          </w:tcPr>
          <w:p>
            <w:pPr>
              <w:tabs>
                <w:tab w:val="left" w:pos="3100"/>
              </w:tabs>
              <w:adjustRightInd w:val="0"/>
              <w:snapToGrid w:val="0"/>
              <w:spacing w:beforeLines="50" w:line="360" w:lineRule="auto"/>
              <w:rPr>
                <w:b/>
                <w:bCs/>
                <w:sz w:val="28"/>
                <w:szCs w:val="28"/>
              </w:rPr>
            </w:pPr>
            <w:r>
              <w:rPr>
                <w:rFonts w:hint="eastAsia"/>
                <w:b/>
                <w:bCs/>
                <w:sz w:val="28"/>
                <w:szCs w:val="28"/>
              </w:rPr>
              <w:t>（一）施工期</w:t>
            </w:r>
          </w:p>
          <w:p>
            <w:pPr>
              <w:tabs>
                <w:tab w:val="left" w:pos="3100"/>
              </w:tabs>
              <w:adjustRightInd w:val="0"/>
              <w:snapToGrid w:val="0"/>
              <w:spacing w:line="360" w:lineRule="auto"/>
              <w:ind w:firstLine="482" w:firstLineChars="200"/>
              <w:rPr>
                <w:b/>
                <w:bCs/>
              </w:rPr>
            </w:pPr>
            <w:r>
              <w:rPr>
                <w:rFonts w:hint="eastAsia"/>
                <w:b/>
                <w:bCs/>
              </w:rPr>
              <w:t>1、工艺流程及产污环节</w:t>
            </w:r>
          </w:p>
          <w:p>
            <w:pPr>
              <w:tabs>
                <w:tab w:val="left" w:pos="3100"/>
              </w:tabs>
              <w:adjustRightInd w:val="0"/>
              <w:snapToGrid w:val="0"/>
              <w:spacing w:line="360" w:lineRule="auto"/>
              <w:ind w:firstLine="480" w:firstLineChars="200"/>
            </w:pPr>
            <w:r>
              <w:rPr>
                <w:rFonts w:hint="eastAsia"/>
              </w:rPr>
              <w:t>本项目共涉及三座污水处理厂施工，其中：邓川污水处理厂和右所污水处理厂为改造、牛街污水厂为新建。</w:t>
            </w:r>
          </w:p>
          <w:p>
            <w:pPr>
              <w:tabs>
                <w:tab w:val="left" w:pos="3100"/>
              </w:tabs>
              <w:adjustRightInd w:val="0"/>
              <w:snapToGrid w:val="0"/>
              <w:spacing w:line="360" w:lineRule="auto"/>
              <w:ind w:firstLine="482" w:firstLineChars="200"/>
              <w:rPr>
                <w:b/>
                <w:bCs/>
              </w:rPr>
            </w:pPr>
            <w:r>
              <w:rPr>
                <w:rFonts w:hint="eastAsia"/>
                <w:b/>
                <w:bCs/>
              </w:rPr>
              <w:t>（1）邓川污水处理厂</w:t>
            </w:r>
          </w:p>
          <w:p>
            <w:pPr>
              <w:tabs>
                <w:tab w:val="left" w:pos="3100"/>
              </w:tabs>
              <w:adjustRightInd w:val="0"/>
              <w:snapToGrid w:val="0"/>
              <w:spacing w:line="360" w:lineRule="auto"/>
              <w:ind w:firstLine="480" w:firstLineChars="200"/>
            </w:pPr>
            <w:r>
              <w:t>邓川污水厂</w:t>
            </w:r>
            <w:r>
              <w:rPr>
                <w:szCs w:val="28"/>
              </w:rPr>
              <w:t>利用厂区原有的格栅、提升泵和调节池，将格栅渠更换原有栅间距为6mm的回转式格栅除污机，将脱水机房内带式污泥脱水机更换为叠螺脱水机，更换PAM加药装置，新建地上钢混结构CWT一体化设备4套</w:t>
            </w:r>
            <w:r>
              <w:t>。</w:t>
            </w:r>
          </w:p>
          <w:p>
            <w:pPr>
              <w:tabs>
                <w:tab w:val="left" w:pos="3100"/>
              </w:tabs>
              <w:adjustRightInd w:val="0"/>
              <w:snapToGrid w:val="0"/>
              <w:spacing w:line="360" w:lineRule="auto"/>
              <w:ind w:firstLine="482" w:firstLineChars="200"/>
              <w:rPr>
                <w:b/>
                <w:bCs/>
              </w:rPr>
            </w:pPr>
            <w:r>
              <w:rPr>
                <w:rFonts w:hint="eastAsia"/>
                <w:b/>
                <w:bCs/>
              </w:rPr>
              <w:t>（2）右所污水处理厂</w:t>
            </w:r>
          </w:p>
          <w:p>
            <w:pPr>
              <w:tabs>
                <w:tab w:val="left" w:pos="3100"/>
              </w:tabs>
              <w:adjustRightInd w:val="0"/>
              <w:snapToGrid w:val="0"/>
              <w:spacing w:line="360" w:lineRule="auto"/>
              <w:ind w:firstLine="480" w:firstLineChars="200"/>
            </w:pPr>
            <w:r>
              <w:t>邓川污水厂</w:t>
            </w:r>
            <w:r>
              <w:rPr>
                <w:szCs w:val="28"/>
              </w:rPr>
              <w:t>利用厂利用厂区原有的格栅、提升泵和调节池，将格栅渠更换原有栅间距为3mm的回转式格栅除污机，改造原有储泥池，新建地上钢混结构CWT一体化设备2套，并新建功能区外围设置园林式绿化、篱笆带等绿化景观以适应西湖景区景色</w:t>
            </w:r>
            <w:r>
              <w:t>。具体施工工艺流程及产物产污环节如下图所示：</w:t>
            </w:r>
          </w:p>
          <w:p>
            <w:pPr>
              <w:spacing w:line="360" w:lineRule="auto"/>
              <w:ind w:firstLine="480" w:firstLineChars="200"/>
            </w:pPr>
            <w:r>
              <w:pict>
                <v:group id="_x0000_s2057" o:spid="_x0000_s2057" o:spt="203" style="height:119.5pt;width:410pt;" coordsize="5206999,1517648" editas="canvas">
                  <o:lock v:ext="edit"/>
                  <v:rect id="_x0000_s2128" o:spid="_x0000_s2128" o:spt="1" style="position:absolute;left:0;top:0;height:1517648;width:5206999;" filled="f" stroked="f" coordsize="21600,21600">
                    <v:path/>
                    <v:fill on="f" focussize="0,0"/>
                    <v:stroke on="f"/>
                    <v:imagedata o:title=""/>
                    <o:lock v:ext="edit" rotation="t" aspectratio="t"/>
                  </v:rect>
                  <v:shape id="文本框 418" o:spid="_x0000_s2129" o:spt="202" type="#_x0000_t202" style="position:absolute;left:24130;top:842645;height:477520;width:68008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VAz9QAAAAFAQAADwAAAAAAAAABACAAAAAiAAAAZHJzL2Rvd25yZXYueG1sUEsBAhQA&#10;FAAAAAgAh07iQKmH7On2AQAAywMAAA4AAAAAAAAAAQAgAAAAIwEAAGRycy9lMm9Eb2MueG1sUEsF&#10;BgAAAAAGAAYAWQEAAIsFAAAAAA==&#10;">
                    <v:path/>
                    <v:fill on="f" focussize="0,0"/>
                    <v:stroke joinstyle="miter"/>
                    <v:imagedata o:title=""/>
                    <o:lock v:ext="edit"/>
                    <v:textbox>
                      <w:txbxContent>
                        <w:p>
                          <w:pPr>
                            <w:ind w:right="105"/>
                            <w:jc w:val="right"/>
                            <w:rPr>
                              <w:snapToGrid w:val="0"/>
                              <w:kern w:val="0"/>
                              <w:sz w:val="21"/>
                              <w:szCs w:val="18"/>
                            </w:rPr>
                          </w:pPr>
                          <w:r>
                            <w:rPr>
                              <w:rFonts w:hint="eastAsia"/>
                              <w:snapToGrid w:val="0"/>
                              <w:kern w:val="0"/>
                              <w:sz w:val="21"/>
                              <w:szCs w:val="18"/>
                            </w:rPr>
                            <w:t>场地清理平整</w:t>
                          </w:r>
                        </w:p>
                      </w:txbxContent>
                    </v:textbox>
                  </v:shape>
                  <v:line id="直线 419" o:spid="_x0000_s2130" o:spt="20" style="position:absolute;left:716280;top:1084580;flip:y;height:6350;width:370840;" coordsize="21600,21600">
                    <v:path arrowok="t"/>
                    <v:fill focussize="0,0"/>
                    <v:stroke endarrow="block"/>
                    <v:imagedata o:title=""/>
                    <o:lock v:ext="edit"/>
                  </v:line>
                  <v:shape id="文本框 452" o:spid="_x0000_s2131" o:spt="202" type="#_x0000_t202" style="position:absolute;left:1097280;top:835660;height:459740;width:64135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pUDP1AAAAAUBAAAPAAAAAAAAAAEAIAAAACIAAABkcnMvZG93bnJldi54bWxQ&#10;SwECFAAUAAAACACHTuJAkFt6WvsBAADMAwAADgAAAAAAAAABACAAAAAjAQAAZHJzL2Uyb0RvYy54&#10;bWxQSwUGAAAAAAYABgBZAQAAkAUAAAAA&#10;">
                    <v:path/>
                    <v:fill on="f" focussize="0,0"/>
                    <v:stroke joinstyle="miter"/>
                    <v:imagedata o:title=""/>
                    <o:lock v:ext="edit"/>
                    <v:textbox>
                      <w:txbxContent>
                        <w:p>
                          <w:pPr>
                            <w:jc w:val="center"/>
                            <w:rPr>
                              <w:sz w:val="21"/>
                              <w:szCs w:val="16"/>
                            </w:rPr>
                          </w:pPr>
                          <w:r>
                            <w:rPr>
                              <w:rFonts w:hint="eastAsia"/>
                              <w:sz w:val="21"/>
                              <w:szCs w:val="16"/>
                            </w:rPr>
                            <w:t>CWT基础施工</w:t>
                          </w:r>
                        </w:p>
                      </w:txbxContent>
                    </v:textbox>
                  </v:shape>
                  <v:line id="直线 453" o:spid="_x0000_s2132" o:spt="20" style="position:absolute;left:1758315;top:1089660;height:1270;width:35242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gwYdgA&#10;AAAFAQAADwAAAAAAAAABACAAAAAiAAAAZHJzL2Rvd25yZXYueG1sUEsBAhQAFAAAAAgAh07iQBxp&#10;C+7mAQAAogMAAA4AAAAAAAAAAQAgAAAAJwEAAGRycy9lMm9Eb2MueG1sUEsFBgAAAAAGAAYAWQEA&#10;AH8FAAAAAA==&#10;">
                    <v:path arrowok="t"/>
                    <v:fill focussize="0,0"/>
                    <v:stroke endarrow="block"/>
                    <v:imagedata o:title=""/>
                    <o:lock v:ext="edit"/>
                  </v:line>
                  <v:rect id="矩形 462" o:spid="_x0000_s2133" o:spt="1" style="position:absolute;left:207645;top:180340;height:277495;width:2619374;"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噪声、扬尘、废水、固体废弃物</w:t>
                          </w:r>
                        </w:p>
                      </w:txbxContent>
                    </v:textbox>
                  </v:rect>
                  <v:shape id="文本框 452" o:spid="_x0000_s2134" o:spt="202" type="#_x0000_t202" style="position:absolute;left:2119630;top:843915;height:477520;width:80327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AJznPgBAADMAwAADgAAAAAAAAABACAAAAAjAQAAZHJzL2Uyb0RvYy54bWxQ&#10;SwUGAAAAAAYABgBZAQAAjQUAAAAA&#10;">
                    <v:path/>
                    <v:fill on="f" focussize="0,0"/>
                    <v:stroke joinstyle="miter"/>
                    <v:imagedata o:title=""/>
                    <o:lock v:ext="edit"/>
                    <v:textbox>
                      <w:txbxContent>
                        <w:p>
                          <w:r>
                            <w:rPr>
                              <w:rFonts w:hint="eastAsia"/>
                              <w:sz w:val="21"/>
                              <w:szCs w:val="21"/>
                            </w:rPr>
                            <w:t>CWT设备浇筑安装</w:t>
                          </w:r>
                        </w:p>
                      </w:txbxContent>
                    </v:textbox>
                  </v:shape>
                  <v:shape id="文本框 452" o:spid="_x0000_s2135" o:spt="202" type="#_x0000_t202" style="position:absolute;left:3324224;top:853440;height:480060;width:76327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jjf0fgBAADMAwAADgAAAAAAAAABACAAAAAjAQAAZHJzL2Uyb0RvYy54bWxQ&#10;SwUGAAAAAAYABgBZAQAAjQUAAAAA&#10;">
                    <v:path/>
                    <v:fill on="f" focussize="0,0"/>
                    <v:stroke joinstyle="miter"/>
                    <v:imagedata o:title=""/>
                    <o:lock v:ext="edit"/>
                    <v:textbox>
                      <w:txbxContent>
                        <w:p>
                          <w:pPr>
                            <w:jc w:val="center"/>
                          </w:pPr>
                          <w:r>
                            <w:rPr>
                              <w:rFonts w:hint="eastAsia"/>
                              <w:sz w:val="21"/>
                              <w:szCs w:val="16"/>
                            </w:rPr>
                            <w:t>原有设备拆除更换</w:t>
                          </w:r>
                        </w:p>
                      </w:txbxContent>
                    </v:textbox>
                  </v:shape>
                  <v:line id="直线 453" o:spid="_x0000_s2136" o:spt="20" style="position:absolute;left:2954019;top:1085215;flip:y;height:6985;width:367665;" coordsize="21600,21600">
                    <v:path arrowok="t"/>
                    <v:fill focussize="0,0"/>
                    <v:stroke endarrow="block"/>
                    <v:imagedata o:title=""/>
                    <o:lock v:ext="edit"/>
                  </v:line>
                  <v:shape id="文本框 452" o:spid="_x0000_s2137" o:spt="202" type="#_x0000_t202" style="position:absolute;left:4451984;top:865505;height:461645;width:46482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center"/>
                            <w:rPr>
                              <w:sz w:val="21"/>
                              <w:szCs w:val="16"/>
                            </w:rPr>
                          </w:pPr>
                          <w:r>
                            <w:rPr>
                              <w:rFonts w:hint="eastAsia"/>
                              <w:sz w:val="21"/>
                              <w:szCs w:val="16"/>
                            </w:rPr>
                            <w:t>调试运行</w:t>
                          </w:r>
                        </w:p>
                      </w:txbxContent>
                    </v:textbox>
                  </v:shape>
                  <v:line id="直线 432" o:spid="_x0000_s2138" o:spt="20" style="position:absolute;left:1412875;top:46164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139" o:spt="20" style="position:absolute;left:3529965;top:50863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IE&#10;t9UAAAAFAQAADwAAAAAAAAABACAAAAAiAAAAZHJzL2Rvd25yZXYueG1sUEsBAhQAFAAAAAgAh07i&#10;QMX4ySLsAQAAqwMAAA4AAAAAAAAAAQAgAAAAJAEAAGRycy9lMm9Eb2MueG1sUEsFBgAAAAAGAAYA&#10;WQEAAIIFAAAAAA==&#10;">
                    <v:path arrowok="t"/>
                    <v:fill focussize="0,0"/>
                    <v:stroke dashstyle="dash" endarrow="block"/>
                    <v:imagedata o:title=""/>
                    <o:lock v:ext="edit"/>
                  </v:line>
                  <v:rect id="矩形 462" o:spid="_x0000_s2140" o:spt="1" style="position:absolute;left:3275329;top:245110;height:272415;width:51181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BAec/VAAAABQEAAA8AAAAAAAAAAQAgAAAAIgAAAGRycy9kb3ducmV2LnhtbFBLAQIUABQA&#10;AAAIAIdO4kDUOc+a8wEAAMEDAAAOAAAAAAAAAAEAIAAAACQBAABkcnMvZTJvRG9jLnhtbFBLBQYA&#10;AAAABgAGAFkBAACJBQAAAAA=&#10;">
                    <v:path/>
                    <v:fill on="f" focussize="0,0"/>
                    <v:stroke weight="1pt" dashstyle="1 1" endcap="round"/>
                    <v:imagedata o:title=""/>
                    <o:lock v:ext="edit"/>
                    <v:textbox>
                      <w:txbxContent>
                        <w:p>
                          <w:r>
                            <w:rPr>
                              <w:rFonts w:hint="eastAsia"/>
                              <w:sz w:val="22"/>
                              <w:szCs w:val="22"/>
                            </w:rPr>
                            <w:t>噪声</w:t>
                          </w:r>
                        </w:p>
                      </w:txbxContent>
                    </v:textbox>
                  </v:rect>
                  <v:line id="直线 453" o:spid="_x0000_s2141" o:spt="20" style="position:absolute;left:4100829;top:1098550;height:0;width:34290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line id="直线 432" o:spid="_x0000_s2142" o:spt="20" style="position:absolute;left:395605;top:461644;flip:y;height:365760;width:63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143" o:spt="20" style="position:absolute;left:2440305;top:502285;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w10:wrap type="none"/>
                  <w10:anchorlock/>
                </v:group>
              </w:pict>
            </w:r>
          </w:p>
          <w:p>
            <w:pPr>
              <w:pStyle w:val="2"/>
              <w:adjustRightInd w:val="0"/>
              <w:snapToGrid w:val="0"/>
              <w:spacing w:before="0" w:after="0" w:line="360" w:lineRule="auto"/>
              <w:rPr>
                <w:b/>
                <w:smallCaps/>
                <w:sz w:val="21"/>
                <w:szCs w:val="18"/>
              </w:rPr>
            </w:pPr>
            <w:r>
              <w:rPr>
                <w:b/>
                <w:sz w:val="21"/>
                <w:szCs w:val="18"/>
              </w:rPr>
              <w:t>图</w:t>
            </w:r>
            <w:r>
              <w:rPr>
                <w:rFonts w:hint="eastAsia"/>
                <w:b/>
                <w:sz w:val="21"/>
                <w:szCs w:val="18"/>
              </w:rPr>
              <w:t xml:space="preserve">5-1  </w:t>
            </w:r>
            <w:r>
              <w:rPr>
                <w:b/>
                <w:sz w:val="21"/>
                <w:szCs w:val="18"/>
              </w:rPr>
              <w:t xml:space="preserve"> </w:t>
            </w:r>
            <w:r>
              <w:rPr>
                <w:rFonts w:hint="eastAsia"/>
                <w:b/>
                <w:sz w:val="21"/>
                <w:szCs w:val="18"/>
              </w:rPr>
              <w:t>邓川、右所</w:t>
            </w:r>
            <w:r>
              <w:rPr>
                <w:rFonts w:hint="eastAsia"/>
                <w:b/>
                <w:sz w:val="21"/>
                <w:szCs w:val="21"/>
              </w:rPr>
              <w:t>污水厂</w:t>
            </w:r>
            <w:r>
              <w:rPr>
                <w:rFonts w:hint="eastAsia"/>
                <w:b/>
                <w:smallCaps/>
                <w:sz w:val="21"/>
                <w:szCs w:val="21"/>
              </w:rPr>
              <w:t>施工</w:t>
            </w:r>
            <w:r>
              <w:rPr>
                <w:b/>
                <w:smallCaps/>
                <w:sz w:val="21"/>
                <w:szCs w:val="21"/>
              </w:rPr>
              <w:t>工艺及产污</w:t>
            </w:r>
            <w:r>
              <w:rPr>
                <w:rFonts w:hint="eastAsia"/>
                <w:b/>
                <w:smallCaps/>
                <w:sz w:val="21"/>
                <w:szCs w:val="21"/>
              </w:rPr>
              <w:t>环节</w:t>
            </w:r>
            <w:r>
              <w:rPr>
                <w:b/>
                <w:smallCaps/>
                <w:sz w:val="21"/>
                <w:szCs w:val="21"/>
              </w:rPr>
              <w:t>图</w:t>
            </w:r>
          </w:p>
          <w:p>
            <w:pPr>
              <w:tabs>
                <w:tab w:val="left" w:pos="3100"/>
              </w:tabs>
              <w:adjustRightInd w:val="0"/>
              <w:snapToGrid w:val="0"/>
              <w:spacing w:line="360" w:lineRule="auto"/>
              <w:ind w:firstLine="482" w:firstLineChars="200"/>
              <w:rPr>
                <w:rFonts w:ascii="宋体" w:hAnsi="宋体" w:cs="宋体"/>
                <w:b/>
                <w:bCs/>
                <w:szCs w:val="28"/>
              </w:rPr>
            </w:pPr>
            <w:r>
              <w:rPr>
                <w:rFonts w:hint="eastAsia" w:ascii="宋体" w:hAnsi="宋体" w:cs="宋体"/>
                <w:b/>
                <w:bCs/>
                <w:szCs w:val="28"/>
              </w:rPr>
              <w:t>改造施工要求：</w:t>
            </w:r>
          </w:p>
          <w:p>
            <w:pPr>
              <w:tabs>
                <w:tab w:val="left" w:pos="3100"/>
              </w:tabs>
              <w:adjustRightInd w:val="0"/>
              <w:snapToGrid w:val="0"/>
              <w:spacing w:line="360" w:lineRule="auto"/>
              <w:ind w:firstLine="480" w:firstLineChars="200"/>
              <w:rPr>
                <w:rFonts w:ascii="宋体" w:hAnsi="宋体" w:cs="宋体"/>
                <w:szCs w:val="28"/>
              </w:rPr>
            </w:pPr>
            <w:r>
              <w:rPr>
                <w:rFonts w:hint="eastAsia" w:ascii="宋体" w:hAnsi="宋体" w:cs="宋体"/>
                <w:szCs w:val="28"/>
              </w:rPr>
              <w:t>改造设计的原则是：①不修改、不破坏原有结构构件；②不改变原有结构的受力状态。</w:t>
            </w:r>
          </w:p>
          <w:p>
            <w:pPr>
              <w:tabs>
                <w:tab w:val="left" w:pos="3100"/>
              </w:tabs>
              <w:adjustRightInd w:val="0"/>
              <w:snapToGrid w:val="0"/>
              <w:spacing w:line="360" w:lineRule="auto"/>
              <w:ind w:firstLine="480" w:firstLineChars="200"/>
              <w:rPr>
                <w:rFonts w:ascii="宋体" w:hAnsi="宋体" w:cs="宋体"/>
                <w:szCs w:val="28"/>
              </w:rPr>
            </w:pPr>
            <w:r>
              <w:rPr>
                <w:rFonts w:hint="eastAsia" w:ascii="宋体" w:hAnsi="宋体" w:cs="宋体"/>
                <w:szCs w:val="28"/>
              </w:rPr>
              <w:t>改造的具体要求为：①对于局部新开洞，应尽量避免，否则应采用相应的加固方法进行加固，并采取可靠的防渗漏措施；②个别建、构筑物的设备基础改造，一般在原位拆旧改新即可；③管道改造时应注意采取对周围已有建、构筑物的保护措施，避免开挖对已有建、构筑物造成不利影响。</w:t>
            </w:r>
          </w:p>
          <w:p>
            <w:pPr>
              <w:numPr>
                <w:ilvl w:val="0"/>
                <w:numId w:val="6"/>
              </w:numPr>
              <w:tabs>
                <w:tab w:val="left" w:pos="3100"/>
              </w:tabs>
              <w:adjustRightInd w:val="0"/>
              <w:snapToGrid w:val="0"/>
              <w:spacing w:line="360" w:lineRule="auto"/>
              <w:ind w:firstLine="482" w:firstLineChars="200"/>
              <w:rPr>
                <w:b/>
                <w:bCs/>
              </w:rPr>
            </w:pPr>
            <w:r>
              <w:rPr>
                <w:rFonts w:hint="eastAsia"/>
                <w:b/>
                <w:bCs/>
              </w:rPr>
              <w:t>牛街污水处理厂</w:t>
            </w:r>
          </w:p>
          <w:p>
            <w:pPr>
              <w:tabs>
                <w:tab w:val="left" w:pos="3100"/>
              </w:tabs>
              <w:adjustRightInd w:val="0"/>
              <w:snapToGrid w:val="0"/>
              <w:spacing w:line="360" w:lineRule="auto"/>
              <w:ind w:firstLine="480" w:firstLineChars="200"/>
              <w:rPr>
                <w:szCs w:val="28"/>
              </w:rPr>
            </w:pPr>
            <w:r>
              <w:rPr>
                <w:szCs w:val="28"/>
              </w:rPr>
              <w:t>牛街污水处理厂将新建规模为1000m</w:t>
            </w:r>
            <w:r>
              <w:rPr>
                <w:szCs w:val="28"/>
                <w:vertAlign w:val="superscript"/>
              </w:rPr>
              <w:t>3</w:t>
            </w:r>
            <w:r>
              <w:rPr>
                <w:szCs w:val="28"/>
              </w:rPr>
              <w:t>/d的污水处理厂，在现状</w:t>
            </w:r>
            <w:r>
              <w:rPr>
                <w:rFonts w:hint="eastAsia"/>
                <w:szCs w:val="28"/>
              </w:rPr>
              <w:t>新</w:t>
            </w:r>
            <w:r>
              <w:rPr>
                <w:szCs w:val="28"/>
              </w:rPr>
              <w:t>厂</w:t>
            </w:r>
            <w:r>
              <w:rPr>
                <w:rFonts w:hint="eastAsia"/>
                <w:szCs w:val="28"/>
              </w:rPr>
              <w:t>（一期）</w:t>
            </w:r>
            <w:r>
              <w:rPr>
                <w:szCs w:val="28"/>
              </w:rPr>
              <w:t>北边新建综合处理池，主要建设内容包括预处理池、调节池、厌氧池、缺氧池、曝气池、膜池、清水池、污泥储泥池以及设备间。具体施工工艺流程及产物产污环节如下图所示：</w:t>
            </w:r>
          </w:p>
          <w:p>
            <w:pPr>
              <w:tabs>
                <w:tab w:val="left" w:pos="3100"/>
              </w:tabs>
              <w:adjustRightInd w:val="0"/>
              <w:snapToGrid w:val="0"/>
              <w:spacing w:line="360" w:lineRule="auto"/>
              <w:ind w:firstLine="480" w:firstLineChars="200"/>
              <w:rPr>
                <w:rFonts w:ascii="宋体" w:hAnsi="宋体" w:cs="宋体"/>
                <w:szCs w:val="28"/>
              </w:rPr>
            </w:pPr>
            <w:r>
              <w:pict>
                <v:group id="画布 577" o:spid="_x0000_s2144" o:spt="203" style="height:119.05pt;width:410pt;" coordsize="5206999,1511934" editas="canvas">
                  <o:lock v:ext="edit"/>
                  <v:rect id="画布 577" o:spid="_x0000_s2421" o:spt="1" style="position:absolute;left:0;top:0;height:1511934;width:5206999;" filled="f" stroked="f" coordsize="21600,21600">
                    <v:path/>
                    <v:fill on="f" focussize="0,0"/>
                    <v:stroke on="f"/>
                    <v:imagedata o:title=""/>
                    <o:lock v:ext="edit" rotation="t" aspectratio="t"/>
                  </v:rect>
                  <v:shape id="文本框 418" o:spid="_x0000_s2422" o:spt="202" type="#_x0000_t202" style="position:absolute;left:24130;top:842645;height:477520;width:66484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VAz9QAAAAFAQAADwAAAAAAAAABACAAAAAiAAAAZHJzL2Rvd25yZXYueG1sUEsBAhQA&#10;FAAAAAgAh07iQKmH7On2AQAAywMAAA4AAAAAAAAAAQAgAAAAIwEAAGRycy9lMm9Eb2MueG1sUEsF&#10;BgAAAAAGAAYAWQEAAIsFAAAAAA==&#10;">
                    <v:path/>
                    <v:fill on="f" focussize="0,0"/>
                    <v:stroke joinstyle="miter"/>
                    <v:imagedata o:title=""/>
                    <o:lock v:ext="edit"/>
                    <v:textbox>
                      <w:txbxContent>
                        <w:p>
                          <w:pPr>
                            <w:ind w:right="105"/>
                            <w:jc w:val="left"/>
                            <w:rPr>
                              <w:snapToGrid w:val="0"/>
                              <w:kern w:val="0"/>
                              <w:sz w:val="21"/>
                              <w:szCs w:val="18"/>
                            </w:rPr>
                          </w:pPr>
                          <w:r>
                            <w:rPr>
                              <w:rFonts w:hint="eastAsia"/>
                              <w:snapToGrid w:val="0"/>
                              <w:kern w:val="0"/>
                              <w:sz w:val="21"/>
                              <w:szCs w:val="18"/>
                            </w:rPr>
                            <w:t>场地清理平整</w:t>
                          </w:r>
                        </w:p>
                      </w:txbxContent>
                    </v:textbox>
                  </v:shape>
                  <v:line id="直线 419" o:spid="_x0000_s2423" o:spt="20" style="position:absolute;left:693420;top:1092200;flip:y;height:6350;width:370840;" coordsize="21600,21600">
                    <v:path arrowok="t"/>
                    <v:fill focussize="0,0"/>
                    <v:stroke endarrow="block"/>
                    <v:imagedata o:title=""/>
                    <o:lock v:ext="edit"/>
                  </v:line>
                  <v:shape id="文本框 452" o:spid="_x0000_s2424" o:spt="202" type="#_x0000_t202" style="position:absolute;left:1067435;top:843280;height:459740;width:73152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pUDP1AAAAAUBAAAPAAAAAAAAAAEAIAAAACIAAABkcnMvZG93bnJldi54bWxQ&#10;SwECFAAUAAAACACHTuJAkFt6WvsBAADMAwAADgAAAAAAAAABACAAAAAjAQAAZHJzL2Uyb0RvYy54&#10;bWxQSwUGAAAAAAYABgBZAQAAkAUAAAAA&#10;">
                    <v:path/>
                    <v:fill on="f" focussize="0,0"/>
                    <v:stroke joinstyle="miter"/>
                    <v:imagedata o:title=""/>
                    <o:lock v:ext="edit"/>
                    <v:textbox>
                      <w:txbxContent>
                        <w:p>
                          <w:pPr>
                            <w:jc w:val="center"/>
                            <w:rPr>
                              <w:sz w:val="21"/>
                              <w:szCs w:val="16"/>
                            </w:rPr>
                          </w:pPr>
                          <w:r>
                            <w:rPr>
                              <w:rFonts w:hint="eastAsia"/>
                              <w:sz w:val="21"/>
                              <w:szCs w:val="16"/>
                            </w:rPr>
                            <w:t>污水处理池开挖</w:t>
                          </w:r>
                        </w:p>
                      </w:txbxContent>
                    </v:textbox>
                  </v:shape>
                  <v:line id="直线 453" o:spid="_x0000_s2425" o:spt="20" style="position:absolute;left:1803400;top:1097280;height:1270;width:35242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gwYdgA&#10;AAAFAQAADwAAAAAAAAABACAAAAAiAAAAZHJzL2Rvd25yZXYueG1sUEsBAhQAFAAAAAgAh07iQBxp&#10;C+7mAQAAogMAAA4AAAAAAAAAAQAgAAAAJwEAAGRycy9lMm9Eb2MueG1sUEsFBgAAAAAGAAYAWQEA&#10;AH8FAAAAAA==&#10;">
                    <v:path arrowok="t"/>
                    <v:fill focussize="0,0"/>
                    <v:stroke endarrow="block"/>
                    <v:imagedata o:title=""/>
                    <o:lock v:ext="edit"/>
                  </v:line>
                  <v:rect id="矩形 462" o:spid="_x0000_s2426" o:spt="1" style="position:absolute;left:133985;top:180340;height:277495;width:2619374;"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噪声、扬尘、废水、固体废弃物</w:t>
                          </w:r>
                        </w:p>
                      </w:txbxContent>
                    </v:textbox>
                  </v:rect>
                  <v:shape id="文本框 452" o:spid="_x0000_s2427" o:spt="202" type="#_x0000_t202" style="position:absolute;left:2157095;top:843915;height:477520;width:72771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AJznPgBAADMAwAADgAAAAAAAAABACAAAAAjAQAAZHJzL2Uyb0RvYy54bWxQ&#10;SwUGAAAAAAYABgBZAQAAjQUAAAAA&#10;">
                    <v:path/>
                    <v:fill on="f" focussize="0,0"/>
                    <v:stroke joinstyle="miter"/>
                    <v:imagedata o:title=""/>
                    <o:lock v:ext="edit"/>
                    <v:textbox>
                      <w:txbxContent>
                        <w:p>
                          <w:pPr>
                            <w:jc w:val="left"/>
                            <w:rPr>
                              <w:sz w:val="21"/>
                              <w:szCs w:val="16"/>
                            </w:rPr>
                          </w:pPr>
                          <w:r>
                            <w:rPr>
                              <w:rFonts w:hint="eastAsia"/>
                              <w:sz w:val="21"/>
                              <w:szCs w:val="16"/>
                            </w:rPr>
                            <w:t>各构筑物浇筑施工</w:t>
                          </w:r>
                        </w:p>
                      </w:txbxContent>
                    </v:textbox>
                  </v:shape>
                  <v:shape id="文本框 452" o:spid="_x0000_s2428" o:spt="202" type="#_x0000_t202" style="position:absolute;left:3271519;top:845820;height:480060;width:101663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jjf0fgBAADMAwAADgAAAAAAAAABACAAAAAjAQAAZHJzL2Uyb0RvYy54bWxQ&#10;SwUGAAAAAAYABgBZAQAAjQUAAAAA&#10;">
                    <v:path/>
                    <v:fill on="f" focussize="0,0"/>
                    <v:stroke joinstyle="miter"/>
                    <v:imagedata o:title=""/>
                    <o:lock v:ext="edit"/>
                    <v:textbox>
                      <w:txbxContent>
                        <w:p>
                          <w:pPr>
                            <w:jc w:val="center"/>
                            <w:rPr>
                              <w:sz w:val="21"/>
                              <w:szCs w:val="21"/>
                            </w:rPr>
                          </w:pPr>
                          <w:r>
                            <w:rPr>
                              <w:rFonts w:hint="eastAsia"/>
                              <w:sz w:val="21"/>
                              <w:szCs w:val="21"/>
                            </w:rPr>
                            <w:t>设备安装及电气工程施工</w:t>
                          </w:r>
                        </w:p>
                        <w:p>
                          <w:pPr>
                            <w:jc w:val="left"/>
                            <w:rPr>
                              <w:sz w:val="21"/>
                              <w:szCs w:val="21"/>
                            </w:rPr>
                          </w:pPr>
                        </w:p>
                      </w:txbxContent>
                    </v:textbox>
                  </v:shape>
                  <v:line id="直线 453" o:spid="_x0000_s2429" o:spt="20" style="position:absolute;left:2901314;top:1085215;flip:y;height:6985;width:367665;" coordsize="21600,21600">
                    <v:path arrowok="t"/>
                    <v:fill focussize="0,0"/>
                    <v:stroke endarrow="block"/>
                    <v:imagedata o:title=""/>
                    <o:lock v:ext="edit"/>
                  </v:line>
                  <v:shape id="文本框 452" o:spid="_x0000_s2430" o:spt="202" type="#_x0000_t202" style="position:absolute;left:4596129;top:857885;height:461645;width:46482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center"/>
                            <w:rPr>
                              <w:sz w:val="21"/>
                              <w:szCs w:val="16"/>
                            </w:rPr>
                          </w:pPr>
                          <w:r>
                            <w:rPr>
                              <w:rFonts w:hint="eastAsia"/>
                              <w:sz w:val="21"/>
                              <w:szCs w:val="16"/>
                            </w:rPr>
                            <w:t>调试运行</w:t>
                          </w:r>
                        </w:p>
                      </w:txbxContent>
                    </v:textbox>
                  </v:shape>
                  <v:line id="直线 432" o:spid="_x0000_s2431" o:spt="20" style="position:absolute;left:1412875;top:49466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432" o:spt="20" style="position:absolute;left:3743324;top:516890;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IE&#10;t9UAAAAFAQAADwAAAAAAAAABACAAAAAiAAAAZHJzL2Rvd25yZXYueG1sUEsBAhQAFAAAAAgAh07i&#10;QMX4ySLsAQAAqwMAAA4AAAAAAAAAAQAgAAAAJAEAAGRycy9lMm9Eb2MueG1sUEsFBgAAAAAGAAYA&#10;WQEAAIIFAAAAAA==&#10;">
                    <v:path arrowok="t"/>
                    <v:fill focussize="0,0"/>
                    <v:stroke dashstyle="dash" endarrow="block"/>
                    <v:imagedata o:title=""/>
                    <o:lock v:ext="edit"/>
                  </v:line>
                  <v:rect id="矩形 462" o:spid="_x0000_s2433" o:spt="1" style="position:absolute;left:3538219;top:220345;height:272415;width:51181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BAec/VAAAABQEAAA8AAAAAAAAAAQAgAAAAIgAAAGRycy9kb3ducmV2LnhtbFBLAQIUABQA&#10;AAAIAIdO4kDUOc+a8wEAAMEDAAAOAAAAAAAAAAEAIAAAACQBAABkcnMvZTJvRG9jLnhtbFBLBQYA&#10;AAAABgAGAFkBAACJBQAAAAA=&#10;">
                    <v:path/>
                    <v:fill on="f" focussize="0,0"/>
                    <v:stroke weight="1pt" dashstyle="1 1" endcap="round"/>
                    <v:imagedata o:title=""/>
                    <o:lock v:ext="edit"/>
                    <v:textbox>
                      <w:txbxContent>
                        <w:p>
                          <w:r>
                            <w:rPr>
                              <w:rFonts w:hint="eastAsia"/>
                              <w:sz w:val="22"/>
                              <w:szCs w:val="22"/>
                            </w:rPr>
                            <w:t>噪声</w:t>
                          </w:r>
                        </w:p>
                      </w:txbxContent>
                    </v:textbox>
                  </v:rect>
                  <v:line id="直线 453" o:spid="_x0000_s2434" o:spt="20" style="position:absolute;left:4305934;top:1106170;height:635;width:30416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line id="直线 432" o:spid="_x0000_s2435" o:spt="20" style="position:absolute;left:379095;top:511175;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436" o:spt="20" style="position:absolute;left:2440305;top:502285;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w10:wrap type="none"/>
                  <w10:anchorlock/>
                </v:group>
              </w:pict>
            </w:r>
          </w:p>
          <w:p>
            <w:pPr>
              <w:pStyle w:val="2"/>
              <w:adjustRightInd w:val="0"/>
              <w:snapToGrid w:val="0"/>
              <w:spacing w:before="0" w:after="0" w:line="360" w:lineRule="auto"/>
              <w:rPr>
                <w:b/>
                <w:smallCaps/>
                <w:sz w:val="21"/>
                <w:szCs w:val="18"/>
              </w:rPr>
            </w:pPr>
            <w:r>
              <w:rPr>
                <w:b/>
                <w:sz w:val="21"/>
                <w:szCs w:val="18"/>
              </w:rPr>
              <w:t>图</w:t>
            </w:r>
            <w:r>
              <w:rPr>
                <w:rFonts w:hint="eastAsia"/>
                <w:b/>
                <w:sz w:val="21"/>
                <w:szCs w:val="18"/>
              </w:rPr>
              <w:t xml:space="preserve">5-2 </w:t>
            </w:r>
            <w:r>
              <w:rPr>
                <w:b/>
                <w:sz w:val="21"/>
                <w:szCs w:val="18"/>
              </w:rPr>
              <w:t xml:space="preserve"> </w:t>
            </w:r>
            <w:r>
              <w:rPr>
                <w:rFonts w:hint="eastAsia"/>
                <w:b/>
                <w:sz w:val="21"/>
                <w:szCs w:val="18"/>
              </w:rPr>
              <w:t>牛街</w:t>
            </w:r>
            <w:r>
              <w:rPr>
                <w:rFonts w:hint="eastAsia"/>
                <w:b/>
                <w:sz w:val="21"/>
                <w:szCs w:val="21"/>
              </w:rPr>
              <w:t>污水处理厂</w:t>
            </w:r>
            <w:r>
              <w:rPr>
                <w:rFonts w:hint="eastAsia"/>
                <w:b/>
                <w:smallCaps/>
                <w:sz w:val="21"/>
                <w:szCs w:val="21"/>
              </w:rPr>
              <w:t>施工</w:t>
            </w:r>
            <w:r>
              <w:rPr>
                <w:b/>
                <w:smallCaps/>
                <w:sz w:val="21"/>
                <w:szCs w:val="21"/>
              </w:rPr>
              <w:t>工艺及产污</w:t>
            </w:r>
            <w:r>
              <w:rPr>
                <w:rFonts w:hint="eastAsia"/>
                <w:b/>
                <w:smallCaps/>
                <w:sz w:val="21"/>
                <w:szCs w:val="21"/>
              </w:rPr>
              <w:t>环节</w:t>
            </w:r>
            <w:r>
              <w:rPr>
                <w:b/>
                <w:smallCaps/>
                <w:sz w:val="21"/>
                <w:szCs w:val="21"/>
              </w:rPr>
              <w:t>图</w:t>
            </w:r>
          </w:p>
          <w:p>
            <w:pPr>
              <w:tabs>
                <w:tab w:val="left" w:pos="3100"/>
              </w:tabs>
              <w:adjustRightInd w:val="0"/>
              <w:snapToGrid w:val="0"/>
              <w:spacing w:line="360" w:lineRule="auto"/>
              <w:ind w:firstLine="482" w:firstLineChars="200"/>
              <w:rPr>
                <w:b/>
                <w:bCs/>
              </w:rPr>
            </w:pPr>
            <w:r>
              <w:rPr>
                <w:rFonts w:hint="eastAsia"/>
                <w:b/>
                <w:bCs/>
              </w:rPr>
              <w:t>施工要求：</w:t>
            </w:r>
          </w:p>
          <w:p>
            <w:pPr>
              <w:adjustRightInd w:val="0"/>
              <w:snapToGrid w:val="0"/>
              <w:spacing w:line="360" w:lineRule="auto"/>
              <w:ind w:firstLine="480" w:firstLineChars="200"/>
              <w:rPr>
                <w:rFonts w:ascii="宋体" w:hAnsi="宋体" w:cs="宋体"/>
              </w:rPr>
            </w:pPr>
            <w:r>
              <w:rPr>
                <w:rFonts w:hint="eastAsia" w:ascii="宋体" w:hAnsi="宋体" w:cs="宋体"/>
              </w:rPr>
              <w:t>①地基基础</w:t>
            </w:r>
          </w:p>
          <w:p>
            <w:pPr>
              <w:adjustRightInd w:val="0"/>
              <w:snapToGrid w:val="0"/>
              <w:spacing w:line="360" w:lineRule="auto"/>
              <w:ind w:firstLine="480" w:firstLineChars="200"/>
              <w:rPr>
                <w:bCs/>
              </w:rPr>
            </w:pPr>
            <w:r>
              <w:rPr>
                <w:rFonts w:hint="eastAsia" w:ascii="宋体" w:hAnsi="宋体" w:cs="宋体"/>
              </w:rPr>
              <w:t>地基基础形式视工程地质条件、场地环境、建筑结构特点等因素综合考虑，</w:t>
            </w:r>
            <w:r>
              <w:rPr>
                <w:rFonts w:hint="eastAsia"/>
                <w:bCs/>
              </w:rPr>
              <w:t>采用筏板基础，并应对基础部分及池体进行整体浇筑，建议采用半埋式，建议地下埋置深度为4.5-5.0m，基础持力层为②粘土层及③圆砾层。亦可采用水泥土搅拌加芯桩条基或筏板的复合地基基础形式，水泥土搅拌深度12.0m，搅拌置换率应大于14%，加芯桩桩长9m，加芯桩为200mm×200mm的钢筋混凝土方桩，并应在条形基础或筏板与加芯桩之间设置褥垫层，垫层厚度为300mm，褥垫层材料可选用中砂、粗砂、级配砂石等，最大粒径不宜大于20mm，褥垫层的夯填度不应大于0.9。</w:t>
            </w:r>
          </w:p>
          <w:p>
            <w:pPr>
              <w:adjustRightInd w:val="0"/>
              <w:snapToGrid w:val="0"/>
              <w:spacing w:line="360" w:lineRule="auto"/>
              <w:ind w:firstLine="480" w:firstLineChars="200"/>
              <w:rPr>
                <w:bCs/>
              </w:rPr>
            </w:pPr>
            <w:r>
              <w:rPr>
                <w:rFonts w:hint="eastAsia"/>
                <w:bCs/>
              </w:rPr>
              <w:t>结合当地地区长期的工程经验，水泥土搅拌加芯桩单桩承载力特征值可按218kN、复合地基承载力（fspk）180kPa进行设计。水泥土搅拌加芯桩单桩承载力及复合地基承载力应以静载荷试验结果为准。</w:t>
            </w:r>
          </w:p>
          <w:p>
            <w:pPr>
              <w:adjustRightInd w:val="0"/>
              <w:snapToGrid w:val="0"/>
              <w:spacing w:line="360" w:lineRule="auto"/>
              <w:ind w:firstLine="480" w:firstLineChars="200"/>
              <w:rPr>
                <w:rFonts w:ascii="宋体" w:hAnsi="宋体" w:cs="宋体"/>
              </w:rPr>
            </w:pPr>
            <w:r>
              <w:rPr>
                <w:rFonts w:hint="eastAsia" w:ascii="宋体" w:hAnsi="宋体" w:cs="宋体"/>
              </w:rPr>
              <w:t>②构筑物施工</w:t>
            </w:r>
          </w:p>
          <w:p>
            <w:pPr>
              <w:adjustRightInd w:val="0"/>
              <w:snapToGrid w:val="0"/>
              <w:spacing w:line="360" w:lineRule="auto"/>
              <w:ind w:firstLine="480" w:firstLineChars="200"/>
              <w:rPr>
                <w:bCs/>
              </w:rPr>
            </w:pPr>
            <w:r>
              <w:rPr>
                <w:rFonts w:hint="eastAsia" w:ascii="宋体" w:hAnsi="宋体" w:cs="宋体"/>
              </w:rPr>
              <w:t>各构筑物均采用普通现浇钢筋混凝土水池结构，底板兼构筑物基础为整体筏板结构形式。</w:t>
            </w:r>
            <w:r>
              <w:rPr>
                <w:rFonts w:hint="eastAsia"/>
                <w:bCs/>
              </w:rPr>
              <w:t>采用C30防水混凝土，抗渗等级S6，抗冻等级F200；垫层采用C15混凝土；填充C25，包管C30。与池体相连部分设计采用与池体等同的混凝土。钢筋采用普通HPB300， HRB400。b型钢及钢板采用Q235，Q345钢。框架填充墙采用轻质砌块。焊条采用E43、E50。</w:t>
            </w:r>
          </w:p>
          <w:p>
            <w:pPr>
              <w:adjustRightInd w:val="0"/>
              <w:snapToGrid w:val="0"/>
              <w:spacing w:line="360" w:lineRule="auto"/>
              <w:ind w:firstLine="480" w:firstLineChars="200"/>
              <w:rPr>
                <w:bCs/>
              </w:rPr>
            </w:pPr>
            <w:r>
              <w:rPr>
                <w:rFonts w:hint="eastAsia"/>
                <w:bCs/>
              </w:rPr>
              <w:t>③设备安装</w:t>
            </w:r>
          </w:p>
          <w:p>
            <w:pPr>
              <w:adjustRightInd w:val="0"/>
              <w:snapToGrid w:val="0"/>
              <w:spacing w:line="360" w:lineRule="auto"/>
              <w:ind w:firstLine="480" w:firstLineChars="200"/>
              <w:rPr>
                <w:bCs/>
              </w:rPr>
            </w:pPr>
            <w:r>
              <w:rPr>
                <w:rFonts w:hint="eastAsia"/>
                <w:bCs/>
              </w:rPr>
              <w:t>本工程所使用的开关柜，控制箱、操作箱等分为落地安装、墙（柱）上安装及支架安装等形式。落地安装的设备均采用槽钢作基础，槽钢与设备间采用螺栓固定。挂墙安装的配电箱或控制箱均采用胀管螺栓直接安装。户外安装的配电箱、控制箱、机旁操作箱等一般采用支架安装，亦可视现场实际情况采用其它形式的安装方式。安装支架采用不锈钢或镀镍铬合金的防腐支架。</w:t>
            </w:r>
          </w:p>
          <w:p>
            <w:pPr>
              <w:adjustRightInd w:val="0"/>
              <w:snapToGrid w:val="0"/>
              <w:spacing w:line="360" w:lineRule="auto"/>
              <w:ind w:firstLine="480" w:firstLineChars="200"/>
              <w:rPr>
                <w:bCs/>
              </w:rPr>
            </w:pPr>
            <w:r>
              <w:rPr>
                <w:rFonts w:hint="eastAsia"/>
                <w:bCs/>
              </w:rPr>
              <w:t>④电气工程</w:t>
            </w:r>
          </w:p>
          <w:p>
            <w:pPr>
              <w:adjustRightInd w:val="0"/>
              <w:snapToGrid w:val="0"/>
              <w:spacing w:line="360" w:lineRule="auto"/>
              <w:ind w:firstLine="480" w:firstLineChars="200"/>
              <w:rPr>
                <w:bCs/>
              </w:rPr>
            </w:pPr>
            <w:r>
              <w:rPr>
                <w:rFonts w:hint="eastAsia"/>
                <w:bCs/>
              </w:rPr>
              <w:t>室内电缆沿电缆沟或桥架敷设，局部穿钢管敷设。室外电缆主要沿电缆沟敷设或穿管埋地敷设，在各构筑物局部采用穿钢管明敷设或电缆桥架敷设。电缆选型主要采用YJV和RVVP硅橡胶动力与控制电缆。电缆桥架采用不锈钢或镀镍铬合金的防腐型桥架，电缆保护管、电缆沟内支架以及接地线等均采用镀锌材料。</w:t>
            </w:r>
          </w:p>
          <w:p>
            <w:pPr>
              <w:tabs>
                <w:tab w:val="left" w:pos="3100"/>
              </w:tabs>
              <w:adjustRightInd w:val="0"/>
              <w:snapToGrid w:val="0"/>
              <w:spacing w:line="360" w:lineRule="auto"/>
              <w:ind w:firstLine="482" w:firstLineChars="200"/>
              <w:rPr>
                <w:b/>
                <w:bCs/>
              </w:rPr>
            </w:pPr>
            <w:r>
              <w:rPr>
                <w:rFonts w:hint="eastAsia"/>
                <w:b/>
                <w:bCs/>
              </w:rPr>
              <w:t>（4）管网工程施工</w:t>
            </w:r>
          </w:p>
          <w:p>
            <w:pPr>
              <w:adjustRightInd w:val="0"/>
              <w:snapToGrid w:val="0"/>
              <w:spacing w:line="360" w:lineRule="auto"/>
              <w:ind w:firstLine="480"/>
              <w:jc w:val="left"/>
            </w:pPr>
            <w:r>
              <w:rPr>
                <w:rFonts w:hint="eastAsia"/>
                <w:szCs w:val="24"/>
              </w:rPr>
              <w:t>本项目主要涉及</w:t>
            </w:r>
            <w:r>
              <w:rPr>
                <w:szCs w:val="24"/>
              </w:rPr>
              <w:t>茈碧湖镇、右所镇、凤羽镇、牛街乡、三营镇</w:t>
            </w:r>
            <w:r>
              <w:rPr>
                <w:rFonts w:hint="eastAsia"/>
                <w:szCs w:val="24"/>
              </w:rPr>
              <w:t>5</w:t>
            </w:r>
            <w:r>
              <w:rPr>
                <w:szCs w:val="24"/>
              </w:rPr>
              <w:t>个乡镇</w:t>
            </w:r>
            <w:r>
              <w:rPr>
                <w:rFonts w:hint="eastAsia"/>
                <w:szCs w:val="24"/>
              </w:rPr>
              <w:t>4</w:t>
            </w:r>
            <w:r>
              <w:rPr>
                <w:szCs w:val="24"/>
              </w:rPr>
              <w:t>1个自然村180km的管网修复</w:t>
            </w:r>
            <w:r>
              <w:t>，</w:t>
            </w:r>
            <w:r>
              <w:rPr>
                <w:rFonts w:hint="eastAsia"/>
                <w:szCs w:val="24"/>
              </w:rPr>
              <w:t>其中：</w:t>
            </w:r>
            <w:r>
              <w:t>新建污水管网32km，清淤修复旧管网148km，修复改造检查井 5000 座。</w:t>
            </w:r>
            <w:r>
              <w:rPr>
                <w:rFonts w:hint="eastAsia" w:ascii="宋体" w:hAnsi="宋体"/>
                <w:szCs w:val="24"/>
              </w:rPr>
              <w:t>具体施工工艺及产排污环节如下图所示：</w:t>
            </w:r>
          </w:p>
          <w:p>
            <w:pPr>
              <w:adjustRightInd w:val="0"/>
              <w:snapToGrid w:val="0"/>
              <w:spacing w:line="360" w:lineRule="auto"/>
              <w:ind w:firstLine="480" w:firstLineChars="200"/>
              <w:rPr>
                <w:b/>
              </w:rPr>
            </w:pPr>
            <w:r>
              <w:pict>
                <v:group id="_x0000_s2437" o:spid="_x0000_s2437" o:spt="203" style="height:115.9pt;width:410pt;" coordsize="5206999,1471930" editas="canvas">
                  <o:lock v:ext="edit"/>
                  <v:rect id="_x0000_s2368" o:spid="_x0000_s2368" o:spt="1" style="position:absolute;left:0;top:0;height:1471930;width:5206999;" filled="f" stroked="f" coordsize="21600,21600">
                    <v:path/>
                    <v:fill on="f" focussize="0,0"/>
                    <v:stroke on="f"/>
                    <v:imagedata o:title=""/>
                    <o:lock v:ext="edit" rotation="t" aspectratio="t"/>
                  </v:rect>
                  <v:shape id="文本框 418" o:spid="_x0000_s2438" o:spt="202" type="#_x0000_t202" style="position:absolute;left:24130;top:842645;height:477520;width:80645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VAz9QAAAAFAQAADwAAAAAAAAABACAAAAAiAAAAZHJzL2Rvd25yZXYueG1sUEsBAhQA&#10;FAAAAAgAh07iQKmH7On2AQAAywMAAA4AAAAAAAAAAQAgAAAAIwEAAGRycy9lMm9Eb2MueG1sUEsF&#10;BgAAAAAGAAYAWQEAAIsFAAAAAA==&#10;">
                    <v:path/>
                    <v:fill on="f" focussize="0,0"/>
                    <v:stroke joinstyle="miter"/>
                    <v:imagedata o:title=""/>
                    <o:lock v:ext="edit"/>
                    <v:textbox>
                      <w:txbxContent>
                        <w:p>
                          <w:pPr>
                            <w:ind w:right="105"/>
                            <w:jc w:val="left"/>
                            <w:rPr>
                              <w:snapToGrid w:val="0"/>
                              <w:kern w:val="0"/>
                              <w:sz w:val="21"/>
                              <w:szCs w:val="18"/>
                            </w:rPr>
                          </w:pPr>
                          <w:r>
                            <w:rPr>
                              <w:rFonts w:hint="eastAsia"/>
                              <w:snapToGrid w:val="0"/>
                              <w:kern w:val="0"/>
                              <w:sz w:val="21"/>
                              <w:szCs w:val="18"/>
                            </w:rPr>
                            <w:t>管线线路场地清理</w:t>
                          </w:r>
                        </w:p>
                      </w:txbxContent>
                    </v:textbox>
                  </v:shape>
                  <v:line id="直线 453" o:spid="_x0000_s2439" o:spt="20" style="position:absolute;left:842645;top:1097280;height:1270;width:35242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gwYdgA&#10;AAAFAQAADwAAAAAAAAABACAAAAAiAAAAZHJzL2Rvd25yZXYueG1sUEsBAhQAFAAAAAgAh07iQBxp&#10;C+7mAQAAogMAAA4AAAAAAAAAAQAgAAAAJwEAAGRycy9lMm9Eb2MueG1sUEsFBgAAAAAGAAYAWQEA&#10;AH8FAAAAAA==&#10;">
                    <v:path arrowok="t"/>
                    <v:fill focussize="0,0"/>
                    <v:stroke endarrow="block"/>
                    <v:imagedata o:title=""/>
                    <o:lock v:ext="edit"/>
                  </v:line>
                  <v:rect id="矩形 462" o:spid="_x0000_s2440" o:spt="1" style="position:absolute;left:33020;top:189230;height:299720;width:224028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噪声、扬尘、固体废弃物、废水</w:t>
                          </w:r>
                        </w:p>
                      </w:txbxContent>
                    </v:textbox>
                  </v:rect>
                  <v:shape id="文本框 452" o:spid="_x0000_s2441" o:spt="202" type="#_x0000_t202" style="position:absolute;left:1203960;top:850265;height:497840;width:89852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AJznPgBAADMAwAADgAAAAAAAAABACAAAAAjAQAAZHJzL2Uyb0RvYy54bWxQ&#10;SwUGAAAAAAYABgBZAQAAjQUAAAAA&#10;">
                    <v:path/>
                    <v:fill on="f" focussize="0,0"/>
                    <v:stroke joinstyle="miter"/>
                    <v:imagedata o:title=""/>
                    <o:lock v:ext="edit"/>
                    <v:textbox>
                      <w:txbxContent>
                        <w:p>
                          <w:pPr>
                            <w:jc w:val="center"/>
                            <w:rPr>
                              <w:sz w:val="21"/>
                              <w:szCs w:val="16"/>
                            </w:rPr>
                          </w:pPr>
                          <w:r>
                            <w:rPr>
                              <w:rFonts w:hint="eastAsia"/>
                              <w:sz w:val="21"/>
                              <w:szCs w:val="16"/>
                            </w:rPr>
                            <w:t>管沟开挖、修复及清淤</w:t>
                          </w:r>
                        </w:p>
                      </w:txbxContent>
                    </v:textbox>
                  </v:shape>
                  <v:shape id="文本框 452" o:spid="_x0000_s2442" o:spt="202" type="#_x0000_t202" style="position:absolute;left:2449830;top:836930;height:470535;width:72644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jjf0fgBAADMAwAADgAAAAAAAAABACAAAAAjAQAAZHJzL2Uyb0RvYy54bWxQ&#10;SwUGAAAAAAYABgBZAQAAjQUAAAAA&#10;">
                    <v:path/>
                    <v:fill on="f" focussize="0,0"/>
                    <v:stroke joinstyle="miter"/>
                    <v:imagedata o:title=""/>
                    <o:lock v:ext="edit"/>
                    <v:textbox>
                      <w:txbxContent>
                        <w:p>
                          <w:pPr>
                            <w:jc w:val="center"/>
                            <w:rPr>
                              <w:sz w:val="21"/>
                              <w:szCs w:val="16"/>
                            </w:rPr>
                          </w:pPr>
                          <w:r>
                            <w:rPr>
                              <w:rFonts w:hint="eastAsia"/>
                              <w:sz w:val="21"/>
                              <w:szCs w:val="16"/>
                            </w:rPr>
                            <w:t>管道安装、连接</w:t>
                          </w:r>
                        </w:p>
                      </w:txbxContent>
                    </v:textbox>
                  </v:shape>
                  <v:line id="直线 453" o:spid="_x0000_s2443" o:spt="20" style="position:absolute;left:2112645;top:1083310;height:635;width:33401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shape id="文本框 452" o:spid="_x0000_s2444" o:spt="202" type="#_x0000_t202" style="position:absolute;left:3505834;top:822960;height:457835;width:50355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left"/>
                            <w:rPr>
                              <w:sz w:val="21"/>
                              <w:szCs w:val="16"/>
                            </w:rPr>
                          </w:pPr>
                          <w:r>
                            <w:rPr>
                              <w:rFonts w:hint="eastAsia"/>
                              <w:sz w:val="21"/>
                              <w:szCs w:val="16"/>
                            </w:rPr>
                            <w:t>覆土回填</w:t>
                          </w:r>
                        </w:p>
                      </w:txbxContent>
                    </v:textbox>
                  </v:shape>
                  <v:line id="直线 432" o:spid="_x0000_s2445" o:spt="20" style="position:absolute;left:1624330;top:49085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53" o:spid="_x0000_s2446" o:spt="20" style="position:absolute;left:3181349;top:1080770;height:0;width:34290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line id="直线 432" o:spid="_x0000_s2447" o:spt="20" style="position:absolute;left:403860;top:509270;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448" o:spt="20" style="position:absolute;left:2758439;top:516255;flip:x y;height:323215;width:6985;" coordsize="21600,21600">
                    <v:path arrowok="t"/>
                    <v:fill focussize="0,0"/>
                    <v:stroke dashstyle="dash" endarrow="block"/>
                    <v:imagedata o:title=""/>
                    <o:lock v:ext="edit"/>
                  </v:line>
                  <v:line id="直线 453" o:spid="_x0000_s2449" o:spt="20" style="position:absolute;left:4016374;top:1037590;height:0;width:34290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shape id="文本框 452" o:spid="_x0000_s2450" o:spt="202" type="#_x0000_t202" style="position:absolute;left:4377054;top:796925;height:495300;width:68453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left"/>
                          </w:pPr>
                          <w:r>
                            <w:rPr>
                              <w:rFonts w:hint="eastAsia"/>
                              <w:sz w:val="21"/>
                              <w:szCs w:val="16"/>
                            </w:rPr>
                            <w:t>路面清理、恢复</w:t>
                          </w:r>
                        </w:p>
                      </w:txbxContent>
                    </v:textbox>
                  </v:shape>
                  <v:line id="直线 432" o:spid="_x0000_s2451" o:spt="20" style="position:absolute;left:3731894;top:560705;flip:x y;height:254000;width:0;" coordsize="21600,21600">
                    <v:path arrowok="t"/>
                    <v:fill focussize="0,0"/>
                    <v:stroke dashstyle="dash" endarrow="block"/>
                    <v:imagedata o:title=""/>
                    <o:lock v:ext="edit"/>
                  </v:line>
                  <v:line id="直线 432" o:spid="_x0000_s2452" o:spt="20" style="position:absolute;left:4709159;top:535940;flip:x y;height:254000;width:0;" coordsize="21600,21600">
                    <v:path arrowok="t"/>
                    <v:fill focussize="0,0"/>
                    <v:stroke dashstyle="dash" endarrow="block"/>
                    <v:imagedata o:title=""/>
                    <o:lock v:ext="edit"/>
                  </v:line>
                  <v:rect id="矩形 462" o:spid="_x0000_s2453" o:spt="1" style="position:absolute;left:3662044;top:247650;height:292100;width:1136015;"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w:t>
                          </w:r>
                        </w:p>
                      </w:txbxContent>
                    </v:textbox>
                  </v:rect>
                  <v:rect id="矩形 462" o:spid="_x0000_s2454" o:spt="1" style="position:absolute;left:2473960;top:211455;height:292100;width:50800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w:t>
                          </w:r>
                        </w:p>
                      </w:txbxContent>
                    </v:textbox>
                  </v:rect>
                  <w10:wrap type="none"/>
                  <w10:anchorlock/>
                </v:group>
              </w:pict>
            </w:r>
          </w:p>
          <w:p>
            <w:pPr>
              <w:pStyle w:val="2"/>
              <w:adjustRightInd w:val="0"/>
              <w:snapToGrid w:val="0"/>
              <w:spacing w:before="0" w:after="0" w:line="360" w:lineRule="auto"/>
              <w:rPr>
                <w:b/>
                <w:smallCaps/>
                <w:sz w:val="21"/>
                <w:szCs w:val="18"/>
              </w:rPr>
            </w:pPr>
            <w:r>
              <w:rPr>
                <w:b/>
                <w:sz w:val="21"/>
                <w:szCs w:val="18"/>
              </w:rPr>
              <w:t>图</w:t>
            </w:r>
            <w:r>
              <w:rPr>
                <w:rFonts w:hint="eastAsia"/>
                <w:b/>
                <w:sz w:val="21"/>
                <w:szCs w:val="18"/>
              </w:rPr>
              <w:t>5-3  管道</w:t>
            </w:r>
            <w:r>
              <w:rPr>
                <w:rFonts w:hint="eastAsia"/>
                <w:b/>
                <w:smallCaps/>
                <w:sz w:val="21"/>
                <w:szCs w:val="18"/>
              </w:rPr>
              <w:t>施工</w:t>
            </w:r>
            <w:r>
              <w:rPr>
                <w:b/>
                <w:smallCaps/>
                <w:sz w:val="21"/>
                <w:szCs w:val="18"/>
              </w:rPr>
              <w:t>工艺及产污</w:t>
            </w:r>
            <w:r>
              <w:rPr>
                <w:rFonts w:hint="eastAsia"/>
                <w:b/>
                <w:smallCaps/>
                <w:sz w:val="21"/>
                <w:szCs w:val="18"/>
              </w:rPr>
              <w:t>环节</w:t>
            </w:r>
            <w:r>
              <w:rPr>
                <w:b/>
                <w:smallCaps/>
                <w:sz w:val="21"/>
                <w:szCs w:val="18"/>
              </w:rPr>
              <w:t>图</w:t>
            </w:r>
          </w:p>
          <w:p>
            <w:pPr>
              <w:adjustRightInd w:val="0"/>
              <w:snapToGrid w:val="0"/>
              <w:spacing w:line="360" w:lineRule="auto"/>
              <w:ind w:firstLine="482" w:firstLineChars="200"/>
              <w:jc w:val="left"/>
              <w:rPr>
                <w:b/>
                <w:bCs/>
                <w:szCs w:val="24"/>
              </w:rPr>
            </w:pPr>
            <w:r>
              <w:rPr>
                <w:rFonts w:hint="eastAsia"/>
                <w:b/>
                <w:bCs/>
                <w:szCs w:val="24"/>
              </w:rPr>
              <w:t>施工方式：</w:t>
            </w:r>
          </w:p>
          <w:p>
            <w:pPr>
              <w:adjustRightInd w:val="0"/>
              <w:snapToGrid w:val="0"/>
              <w:spacing w:line="360" w:lineRule="auto"/>
              <w:ind w:firstLine="480" w:firstLineChars="200"/>
              <w:jc w:val="left"/>
              <w:rPr>
                <w:szCs w:val="24"/>
              </w:rPr>
            </w:pPr>
            <w:r>
              <w:rPr>
                <w:rFonts w:hint="eastAsia"/>
                <w:szCs w:val="24"/>
              </w:rPr>
              <w:t>①管网新建</w:t>
            </w:r>
          </w:p>
          <w:p>
            <w:pPr>
              <w:adjustRightInd w:val="0"/>
              <w:snapToGrid w:val="0"/>
              <w:spacing w:line="360" w:lineRule="auto"/>
              <w:ind w:firstLine="480" w:firstLineChars="200"/>
              <w:jc w:val="left"/>
              <w:rPr>
                <w:szCs w:val="24"/>
              </w:rPr>
            </w:pPr>
            <w:r>
              <w:rPr>
                <w:rFonts w:hint="eastAsia"/>
                <w:szCs w:val="24"/>
              </w:rPr>
              <w:t>目前管道常见的施工方法有开槽施工、顶管施工、拖管等。本工程根据管道实际埋深、管径以及现场实际情况（道路交通情况、地下埋设管线等）综合考虑，推荐开槽施工方法。</w:t>
            </w:r>
          </w:p>
          <w:p>
            <w:pPr>
              <w:adjustRightInd w:val="0"/>
              <w:snapToGrid w:val="0"/>
              <w:spacing w:line="360" w:lineRule="auto"/>
              <w:ind w:firstLine="480" w:firstLineChars="200"/>
              <w:jc w:val="left"/>
              <w:rPr>
                <w:szCs w:val="24"/>
              </w:rPr>
            </w:pPr>
            <w:r>
              <w:rPr>
                <w:rFonts w:hint="eastAsia"/>
                <w:szCs w:val="24"/>
              </w:rPr>
              <w:t>②管网修复</w:t>
            </w:r>
          </w:p>
          <w:p>
            <w:pPr>
              <w:adjustRightInd w:val="0"/>
              <w:snapToGrid w:val="0"/>
              <w:spacing w:line="360" w:lineRule="auto"/>
              <w:ind w:firstLine="480" w:firstLineChars="200"/>
              <w:jc w:val="left"/>
              <w:rPr>
                <w:rFonts w:ascii="宋体" w:hAnsi="宋体" w:cs="宋体"/>
              </w:rPr>
            </w:pPr>
            <w:r>
              <w:rPr>
                <w:rFonts w:hint="eastAsia" w:ascii="宋体" w:hAnsi="宋体" w:cs="宋体"/>
              </w:rPr>
              <w:t>管道修复方法按作业方式可分为开挖修复和非开挖修复两类。本项目需根据管道所处的位置、管道的缺陷种类，选择工程造价低、施工便捷的修复方式：管道位于农田、土路或者交通稀少的路段考虑开挖修复；管道位于主路或者开挖沟槽后对交通影响较大的考虑非开挖修复。</w:t>
            </w:r>
          </w:p>
          <w:p>
            <w:pPr>
              <w:adjustRightInd w:val="0"/>
              <w:snapToGrid w:val="0"/>
              <w:spacing w:line="360" w:lineRule="auto"/>
              <w:ind w:firstLine="480" w:firstLineChars="200"/>
              <w:jc w:val="left"/>
              <w:rPr>
                <w:szCs w:val="24"/>
              </w:rPr>
            </w:pPr>
            <w:r>
              <w:rPr>
                <w:rFonts w:hint="eastAsia"/>
                <w:szCs w:val="24"/>
              </w:rPr>
              <w:t>③管道清淤疏通</w:t>
            </w:r>
          </w:p>
          <w:p>
            <w:pPr>
              <w:adjustRightInd w:val="0"/>
              <w:snapToGrid w:val="0"/>
              <w:spacing w:line="360" w:lineRule="auto"/>
              <w:ind w:firstLine="480" w:firstLineChars="200"/>
              <w:jc w:val="left"/>
              <w:rPr>
                <w:szCs w:val="24"/>
              </w:rPr>
            </w:pPr>
            <w:r>
              <w:rPr>
                <w:rFonts w:hint="eastAsia"/>
                <w:szCs w:val="24"/>
              </w:rPr>
              <w:t>本项目清淤疏通建议结合本地实际、管道管径、施工便捷程度选择合适的清淤方法：对于管径较小的管道（接入管、出户管等），直接采用人工清淤方式，最为经济合理。对应管径较大、人工清淤困难的大管径管道，经过经济技术比较后，可采用高压水射流清淤。</w:t>
            </w:r>
          </w:p>
          <w:p>
            <w:pPr>
              <w:adjustRightInd w:val="0"/>
              <w:snapToGrid w:val="0"/>
              <w:spacing w:line="360" w:lineRule="auto"/>
              <w:ind w:firstLine="480" w:firstLineChars="200"/>
              <w:jc w:val="left"/>
              <w:rPr>
                <w:szCs w:val="24"/>
              </w:rPr>
            </w:pPr>
            <w:r>
              <w:rPr>
                <w:rFonts w:hint="eastAsia"/>
                <w:szCs w:val="24"/>
              </w:rPr>
              <w:t>④管道连接</w:t>
            </w:r>
          </w:p>
          <w:p>
            <w:pPr>
              <w:adjustRightInd w:val="0"/>
              <w:snapToGrid w:val="0"/>
              <w:spacing w:line="360" w:lineRule="auto"/>
              <w:ind w:firstLine="480" w:firstLineChars="200"/>
              <w:jc w:val="left"/>
              <w:rPr>
                <w:szCs w:val="24"/>
              </w:rPr>
            </w:pPr>
            <w:r>
              <w:rPr>
                <w:rFonts w:hint="eastAsia"/>
                <w:szCs w:val="24"/>
              </w:rPr>
              <w:t>管径相同时，采用水平平接；管径不同时，采用管顶平接；渠道转弯处，其中心线的弯曲半径不宜小于设计水面宽度的5倍；盖板渠和铺砌明渠可采用不小于设计水面宽度的2.5倍。</w:t>
            </w:r>
          </w:p>
          <w:p>
            <w:pPr>
              <w:adjustRightInd w:val="0"/>
              <w:snapToGrid w:val="0"/>
              <w:spacing w:line="360" w:lineRule="auto"/>
              <w:ind w:firstLine="480" w:firstLineChars="200"/>
              <w:jc w:val="left"/>
              <w:rPr>
                <w:szCs w:val="24"/>
              </w:rPr>
            </w:pPr>
            <w:r>
              <w:rPr>
                <w:rFonts w:hint="eastAsia"/>
                <w:szCs w:val="24"/>
              </w:rPr>
              <w:t>⑤管道覆土及管渠盖板</w:t>
            </w:r>
          </w:p>
          <w:p>
            <w:pPr>
              <w:adjustRightInd w:val="0"/>
              <w:snapToGrid w:val="0"/>
              <w:spacing w:line="360" w:lineRule="auto"/>
              <w:ind w:firstLine="480" w:firstLineChars="200"/>
              <w:jc w:val="left"/>
              <w:rPr>
                <w:szCs w:val="24"/>
              </w:rPr>
            </w:pPr>
            <w:r>
              <w:rPr>
                <w:rFonts w:hint="eastAsia"/>
                <w:szCs w:val="24"/>
              </w:rPr>
              <w:t>截污沟管渠采用钢筋混凝土盖板，分段落设置格栅盖板用以排除雨水。管道埋设在非机动车道下时，管道的最小覆土厚度根据外部荷载条件和管材强度等条件确定。在机动车道下不宜小于0.7m。在绿化带或庭院内的管道覆土厚度可根据具体情况适当减小，但不应小于0.6m。</w:t>
            </w:r>
          </w:p>
          <w:p>
            <w:pPr>
              <w:adjustRightInd w:val="0"/>
              <w:snapToGrid w:val="0"/>
              <w:spacing w:line="360" w:lineRule="auto"/>
              <w:ind w:firstLine="480" w:firstLineChars="200"/>
              <w:jc w:val="left"/>
              <w:rPr>
                <w:szCs w:val="24"/>
              </w:rPr>
            </w:pPr>
            <w:r>
              <w:rPr>
                <w:rFonts w:hint="eastAsia"/>
                <w:szCs w:val="24"/>
              </w:rPr>
              <w:t>⑥道路恢复</w:t>
            </w:r>
          </w:p>
          <w:p>
            <w:pPr>
              <w:adjustRightInd w:val="0"/>
              <w:snapToGrid w:val="0"/>
              <w:spacing w:line="360" w:lineRule="auto"/>
              <w:ind w:firstLine="480" w:firstLineChars="200"/>
              <w:jc w:val="left"/>
              <w:rPr>
                <w:szCs w:val="24"/>
              </w:rPr>
            </w:pPr>
            <w:r>
              <w:rPr>
                <w:rFonts w:hint="eastAsia"/>
                <w:szCs w:val="24"/>
              </w:rPr>
              <w:t>开挖的路面结构恢复做法为200mm厚C30混凝土面层。 水泥混凝土路面面板之间应视缝隙宽窄灌入热沥青或填缝料，避免雨水下渗。明沟纵向排水坡度为0.5％，当坡度超过本图中节点的规定时，根据现场情况调整。所有排水沟基土用粘土加碎砖、石、卵石夯实。</w:t>
            </w:r>
          </w:p>
          <w:p>
            <w:pPr>
              <w:tabs>
                <w:tab w:val="left" w:pos="3100"/>
              </w:tabs>
              <w:adjustRightInd w:val="0"/>
              <w:snapToGrid w:val="0"/>
              <w:spacing w:line="360" w:lineRule="auto"/>
              <w:ind w:firstLine="562" w:firstLineChars="200"/>
              <w:rPr>
                <w:b/>
                <w:bCs/>
                <w:sz w:val="28"/>
                <w:szCs w:val="21"/>
              </w:rPr>
            </w:pPr>
            <w:r>
              <w:rPr>
                <w:rFonts w:hint="eastAsia"/>
                <w:b/>
                <w:bCs/>
                <w:sz w:val="28"/>
                <w:szCs w:val="21"/>
              </w:rPr>
              <w:t>2、主要污染源分析</w:t>
            </w:r>
          </w:p>
          <w:p>
            <w:pPr>
              <w:tabs>
                <w:tab w:val="left" w:pos="3100"/>
              </w:tabs>
              <w:adjustRightInd w:val="0"/>
              <w:snapToGrid w:val="0"/>
              <w:spacing w:line="360" w:lineRule="auto"/>
              <w:ind w:firstLine="480" w:firstLineChars="200"/>
            </w:pPr>
            <w:r>
              <w:rPr>
                <w:rFonts w:hint="eastAsia"/>
              </w:rPr>
              <w:t>本项目为污水集中收集处理工程建设项目，属非污染型（不直接排放污染物）项目。项目建设对环境的影响主要表现在施工期。</w:t>
            </w:r>
          </w:p>
          <w:p>
            <w:pPr>
              <w:tabs>
                <w:tab w:val="left" w:pos="3100"/>
              </w:tabs>
              <w:adjustRightInd w:val="0"/>
              <w:snapToGrid w:val="0"/>
              <w:spacing w:line="360" w:lineRule="auto"/>
              <w:ind w:firstLine="480" w:firstLineChars="200"/>
            </w:pPr>
            <w:r>
              <w:rPr>
                <w:rFonts w:hint="eastAsia"/>
              </w:rPr>
              <w:t>本项目施工期内容主要包括邓川污水处理厂和右所污水处理厂的改造施工、牛街污水厂的新建施工，以及</w:t>
            </w:r>
            <w:r>
              <w:rPr>
                <w:rFonts w:hint="eastAsia"/>
                <w:szCs w:val="24"/>
              </w:rPr>
              <w:t>配套</w:t>
            </w:r>
            <w:r>
              <w:rPr>
                <w:szCs w:val="24"/>
              </w:rPr>
              <w:t>污水管道</w:t>
            </w:r>
            <w:r>
              <w:rPr>
                <w:rFonts w:hint="eastAsia"/>
                <w:szCs w:val="24"/>
              </w:rPr>
              <w:t>、</w:t>
            </w:r>
            <w:r>
              <w:rPr>
                <w:szCs w:val="24"/>
              </w:rPr>
              <w:t>检查井</w:t>
            </w:r>
            <w:r>
              <w:rPr>
                <w:rFonts w:hint="eastAsia"/>
                <w:szCs w:val="24"/>
              </w:rPr>
              <w:t>的</w:t>
            </w:r>
            <w:r>
              <w:rPr>
                <w:rFonts w:hint="eastAsia"/>
              </w:rPr>
              <w:t>新建和改造施工。</w:t>
            </w:r>
          </w:p>
          <w:p>
            <w:pPr>
              <w:tabs>
                <w:tab w:val="left" w:pos="3100"/>
              </w:tabs>
              <w:adjustRightInd w:val="0"/>
              <w:snapToGrid w:val="0"/>
              <w:spacing w:line="360" w:lineRule="auto"/>
              <w:ind w:firstLine="480" w:firstLineChars="200"/>
            </w:pPr>
            <w:r>
              <w:rPr>
                <w:rFonts w:hint="eastAsia"/>
              </w:rPr>
              <w:t>根据现场踏勘调查，目前三座污水处理厂均已经施工、调试完毕，均处于正常运行阶段。其中：邓川污水处理厂于2019年9月30日开工，2019年10月25日竣工，2019年11月~2月为试运行阶段；右所污水处理厂于2019年10月开工，2019年11月竣工，2019年11月~2月为试运行阶段；牛街污水处理厂于2019年11月开工，2020年3月竣工，2020年3月~6月为试运行阶段。管网修复工程于2020年6月开工建设，预计竣工时间为2020年12月。</w:t>
            </w:r>
          </w:p>
          <w:p>
            <w:pPr>
              <w:tabs>
                <w:tab w:val="left" w:pos="3100"/>
              </w:tabs>
              <w:adjustRightInd w:val="0"/>
              <w:snapToGrid w:val="0"/>
              <w:spacing w:line="360" w:lineRule="auto"/>
              <w:ind w:firstLine="480" w:firstLineChars="200"/>
            </w:pPr>
            <w:r>
              <w:rPr>
                <w:rFonts w:hint="eastAsia"/>
              </w:rPr>
              <w:t>因此，本项目施工阶段对环境产生的影响主要从已完成污水处理厂工程内容的回顾性分析和后续管网施工内容两个方面进行分析。</w:t>
            </w:r>
          </w:p>
          <w:p>
            <w:pPr>
              <w:tabs>
                <w:tab w:val="left" w:pos="3100"/>
              </w:tabs>
              <w:adjustRightInd w:val="0"/>
              <w:snapToGrid w:val="0"/>
              <w:spacing w:line="360" w:lineRule="auto"/>
              <w:ind w:firstLine="482" w:firstLineChars="200"/>
              <w:rPr>
                <w:b/>
                <w:bCs/>
              </w:rPr>
            </w:pPr>
            <w:r>
              <w:rPr>
                <w:rFonts w:hint="eastAsia"/>
                <w:b/>
                <w:bCs/>
              </w:rPr>
              <w:t>1）已完成工程内容的回顾性分析</w:t>
            </w:r>
          </w:p>
          <w:p>
            <w:pPr>
              <w:tabs>
                <w:tab w:val="left" w:pos="3100"/>
              </w:tabs>
              <w:adjustRightInd w:val="0"/>
              <w:snapToGrid w:val="0"/>
              <w:spacing w:line="360" w:lineRule="auto"/>
              <w:ind w:firstLine="480" w:firstLineChars="200"/>
            </w:pPr>
            <w:r>
              <w:rPr>
                <w:rFonts w:hint="eastAsia"/>
              </w:rPr>
              <w:t>施工期的主要污染工序为三座污水处理厂主要构筑物建设过程中产生的废水、废气、噪声、固体废物，以及设备的安装和调试产生的噪声</w:t>
            </w:r>
            <w:r>
              <w:t>。</w:t>
            </w:r>
          </w:p>
          <w:p>
            <w:pPr>
              <w:adjustRightInd w:val="0"/>
              <w:snapToGrid w:val="0"/>
              <w:spacing w:line="360" w:lineRule="auto"/>
              <w:ind w:firstLine="482" w:firstLineChars="200"/>
              <w:outlineLvl w:val="1"/>
              <w:rPr>
                <w:b/>
                <w:bCs/>
              </w:rPr>
            </w:pPr>
            <w:r>
              <w:rPr>
                <w:rFonts w:hint="eastAsia"/>
                <w:b/>
                <w:bCs/>
              </w:rPr>
              <w:t>2）后续施工内容的污染源分析</w:t>
            </w:r>
          </w:p>
          <w:p>
            <w:pPr>
              <w:adjustRightInd w:val="0"/>
              <w:snapToGrid w:val="0"/>
              <w:spacing w:line="360" w:lineRule="auto"/>
              <w:ind w:firstLine="480" w:firstLineChars="200"/>
              <w:outlineLvl w:val="1"/>
              <w:rPr>
                <w:b/>
                <w:bCs/>
                <w:szCs w:val="24"/>
              </w:rPr>
            </w:pPr>
            <w:r>
              <w:rPr>
                <w:rFonts w:hint="eastAsia"/>
              </w:rPr>
              <w:t>项目后续在管道铺设、修复、清淤及检查井施工过程中会产生一定的粉尘、施工废水、噪声和固体废物；同时在管道铺设和检查井施工过程中还会造成较小的生态破坏和水土流失。</w:t>
            </w:r>
          </w:p>
          <w:p>
            <w:pPr>
              <w:adjustRightInd w:val="0"/>
              <w:snapToGrid w:val="0"/>
              <w:spacing w:line="360" w:lineRule="auto"/>
              <w:ind w:firstLine="482" w:firstLineChars="200"/>
              <w:outlineLvl w:val="1"/>
              <w:rPr>
                <w:b/>
                <w:bCs/>
                <w:szCs w:val="24"/>
              </w:rPr>
            </w:pPr>
            <w:r>
              <w:rPr>
                <w:rFonts w:hint="eastAsia"/>
                <w:b/>
                <w:bCs/>
                <w:szCs w:val="24"/>
              </w:rPr>
              <w:t>（1）废气</w:t>
            </w:r>
          </w:p>
          <w:p>
            <w:pPr>
              <w:adjustRightInd w:val="0"/>
              <w:snapToGrid w:val="0"/>
              <w:spacing w:line="360" w:lineRule="auto"/>
              <w:ind w:firstLine="480" w:firstLineChars="200"/>
              <w:rPr>
                <w:snapToGrid w:val="0"/>
                <w:szCs w:val="24"/>
              </w:rPr>
            </w:pPr>
            <w:r>
              <w:rPr>
                <w:rFonts w:hint="eastAsia"/>
                <w:snapToGrid w:val="0"/>
                <w:szCs w:val="24"/>
              </w:rPr>
              <w:t>施工期大气污染源主要产生于污水管道、检查井的开挖、材料运输装卸等环节产生的扬尘，以及施工机械设备和管道焊接产生的废气。</w:t>
            </w:r>
          </w:p>
          <w:p>
            <w:pPr>
              <w:adjustRightInd w:val="0"/>
              <w:snapToGrid w:val="0"/>
              <w:spacing w:line="360" w:lineRule="auto"/>
              <w:ind w:firstLine="480" w:firstLineChars="200"/>
              <w:rPr>
                <w:snapToGrid w:val="0"/>
                <w:szCs w:val="24"/>
              </w:rPr>
            </w:pPr>
            <w:r>
              <w:rPr>
                <w:rFonts w:hint="eastAsia"/>
                <w:snapToGrid w:val="0"/>
                <w:szCs w:val="24"/>
              </w:rPr>
              <w:t>①扬尘</w:t>
            </w:r>
          </w:p>
          <w:p>
            <w:pPr>
              <w:adjustRightInd w:val="0"/>
              <w:snapToGrid w:val="0"/>
              <w:spacing w:line="360" w:lineRule="auto"/>
              <w:ind w:firstLine="480" w:firstLineChars="200"/>
              <w:rPr>
                <w:snapToGrid w:val="0"/>
                <w:szCs w:val="24"/>
              </w:rPr>
            </w:pPr>
            <w:r>
              <w:rPr>
                <w:rFonts w:hint="eastAsia"/>
                <w:snapToGrid w:val="0"/>
                <w:szCs w:val="24"/>
              </w:rPr>
              <w:t>施工扬尘主要来自于基坑、沟槽开挖、钻孔、混凝土拌和以及施工材料运输和装卸产生的交通扬尘，主要为风力扬尘和动力扬尘，产生量随施工强度及方式而定。其中，路面的交通扬尘是项目在建设过程中产生的主要扬尘，其对施工区的环境空气质量及施工人员影响最为严重，仅车辆运输引起的道路扬尘就约占场地扬尘总量的60%。但这些施工过程中产生的粉尘具有短暂性和临时性。</w:t>
            </w:r>
          </w:p>
          <w:p>
            <w:pPr>
              <w:adjustRightInd w:val="0"/>
              <w:snapToGrid w:val="0"/>
              <w:spacing w:line="360" w:lineRule="auto"/>
              <w:ind w:firstLine="480" w:firstLineChars="200"/>
              <w:rPr>
                <w:snapToGrid w:val="0"/>
                <w:szCs w:val="24"/>
              </w:rPr>
            </w:pPr>
            <w:r>
              <w:rPr>
                <w:rFonts w:hint="eastAsia"/>
                <w:snapToGrid w:val="0"/>
                <w:szCs w:val="24"/>
              </w:rPr>
              <w:t>②施工机械废气</w:t>
            </w:r>
          </w:p>
          <w:p>
            <w:pPr>
              <w:adjustRightInd w:val="0"/>
              <w:snapToGrid w:val="0"/>
              <w:spacing w:line="360" w:lineRule="auto"/>
              <w:ind w:firstLine="480" w:firstLineChars="200"/>
              <w:rPr>
                <w:sz w:val="26"/>
                <w:szCs w:val="26"/>
              </w:rPr>
            </w:pPr>
            <w:r>
              <w:rPr>
                <w:rFonts w:hint="eastAsia"/>
              </w:rPr>
              <w:t>项目在施工过程中使用的大部分机械设备均以柴油为能源，柴油燃烧时会产生烟气，</w:t>
            </w:r>
            <w:r>
              <w:t>正常</w:t>
            </w:r>
            <w:r>
              <w:rPr>
                <w:rFonts w:hint="eastAsia"/>
              </w:rPr>
              <w:t>燃烧时</w:t>
            </w:r>
            <w:r>
              <w:t>废气排放量较小</w:t>
            </w:r>
            <w:r>
              <w:rPr>
                <w:rFonts w:hint="eastAsia"/>
              </w:rPr>
              <w:t>，</w:t>
            </w:r>
            <w:r>
              <w:t>排放点较低</w:t>
            </w:r>
            <w:r>
              <w:rPr>
                <w:rFonts w:hint="eastAsia"/>
              </w:rPr>
              <w:t>。</w:t>
            </w:r>
            <w:r>
              <w:rPr>
                <w:rFonts w:hint="eastAsia"/>
                <w:snapToGrid w:val="0"/>
                <w:szCs w:val="24"/>
              </w:rPr>
              <w:t>燃油废气中主要污染物为NOx，CO和THC，其排量有限，排放方式为间断、无组织排放。</w:t>
            </w:r>
          </w:p>
          <w:p>
            <w:pPr>
              <w:adjustRightInd w:val="0"/>
              <w:snapToGrid w:val="0"/>
              <w:spacing w:line="360" w:lineRule="auto"/>
              <w:ind w:firstLine="480" w:firstLineChars="200"/>
              <w:rPr>
                <w:snapToGrid w:val="0"/>
                <w:szCs w:val="24"/>
              </w:rPr>
            </w:pPr>
            <w:r>
              <w:rPr>
                <w:rFonts w:hint="eastAsia"/>
                <w:snapToGrid w:val="0"/>
                <w:szCs w:val="24"/>
              </w:rPr>
              <w:t>③焊接废气</w:t>
            </w:r>
          </w:p>
          <w:p>
            <w:pPr>
              <w:adjustRightInd w:val="0"/>
              <w:snapToGrid w:val="0"/>
              <w:spacing w:line="360" w:lineRule="auto"/>
              <w:ind w:firstLine="480" w:firstLineChars="200"/>
              <w:rPr>
                <w:snapToGrid w:val="0"/>
                <w:szCs w:val="24"/>
              </w:rPr>
            </w:pPr>
            <w:r>
              <w:rPr>
                <w:rFonts w:hint="eastAsia"/>
                <w:snapToGrid w:val="0"/>
                <w:szCs w:val="24"/>
              </w:rPr>
              <w:t>本项目在管网铺设过程中 HDPE 钢带管、PVC 管、PE 管均采用热熔连接，钢管采用焊接，项目在进行管道焊接时会产生光污染和焊接烟尘，排放方式为间断、无组织排放。</w:t>
            </w:r>
          </w:p>
          <w:p>
            <w:pPr>
              <w:adjustRightInd w:val="0"/>
              <w:snapToGrid w:val="0"/>
              <w:spacing w:line="360" w:lineRule="auto"/>
              <w:ind w:firstLine="482" w:firstLineChars="200"/>
              <w:outlineLvl w:val="1"/>
              <w:rPr>
                <w:b/>
                <w:bCs/>
                <w:szCs w:val="24"/>
              </w:rPr>
            </w:pPr>
            <w:r>
              <w:rPr>
                <w:rFonts w:hint="eastAsia"/>
                <w:b/>
                <w:bCs/>
                <w:szCs w:val="24"/>
              </w:rPr>
              <w:t>（2）废水</w:t>
            </w:r>
          </w:p>
          <w:p>
            <w:pPr>
              <w:adjustRightInd w:val="0"/>
              <w:snapToGrid w:val="0"/>
              <w:spacing w:line="360" w:lineRule="auto"/>
              <w:ind w:firstLine="480" w:firstLineChars="200"/>
              <w:rPr>
                <w:snapToGrid w:val="0"/>
                <w:szCs w:val="24"/>
              </w:rPr>
            </w:pPr>
            <w:r>
              <w:rPr>
                <w:rFonts w:hint="eastAsia"/>
                <w:snapToGrid w:val="0"/>
                <w:szCs w:val="24"/>
              </w:rPr>
              <w:t>本工程施工期不设置施工营地，施工人员均为附近的村民，均不在项目区食宿，因此，施工期的水污染源主要包括基坑排水、施工废水及少量施工人员的清洗废水。</w:t>
            </w:r>
          </w:p>
          <w:p>
            <w:pPr>
              <w:adjustRightInd w:val="0"/>
              <w:snapToGrid w:val="0"/>
              <w:spacing w:line="360" w:lineRule="auto"/>
              <w:ind w:firstLine="480" w:firstLineChars="200"/>
              <w:rPr>
                <w:szCs w:val="24"/>
              </w:rPr>
            </w:pPr>
            <w:r>
              <w:rPr>
                <w:rFonts w:hint="eastAsia"/>
                <w:szCs w:val="24"/>
              </w:rPr>
              <w:t>①基坑排水</w:t>
            </w:r>
          </w:p>
          <w:p>
            <w:pPr>
              <w:adjustRightInd w:val="0"/>
              <w:snapToGrid w:val="0"/>
              <w:spacing w:line="360" w:lineRule="auto"/>
              <w:ind w:firstLine="480" w:firstLineChars="200"/>
              <w:rPr>
                <w:szCs w:val="24"/>
              </w:rPr>
            </w:pPr>
            <w:r>
              <w:rPr>
                <w:rFonts w:hint="eastAsia"/>
                <w:szCs w:val="24"/>
              </w:rPr>
              <w:t>项目管网施工时，均需要进行开挖，管网埋深为2-8m不等，部分检查井埋深2-6m。开挖时，由于开挖深度不大，基本不会产生地下涌水。另外，基坑在强降雨后，可能会产生少量的废水，主要污染物为悬浮物，污染物浓度SS约为 2000mg/L。</w:t>
            </w:r>
          </w:p>
          <w:p>
            <w:pPr>
              <w:adjustRightInd w:val="0"/>
              <w:snapToGrid w:val="0"/>
              <w:spacing w:line="360" w:lineRule="auto"/>
              <w:ind w:firstLine="480" w:firstLineChars="200"/>
              <w:rPr>
                <w:szCs w:val="24"/>
              </w:rPr>
            </w:pPr>
            <w:r>
              <w:rPr>
                <w:rFonts w:hint="eastAsia"/>
                <w:szCs w:val="24"/>
              </w:rPr>
              <w:t>②施工废水</w:t>
            </w:r>
          </w:p>
          <w:p>
            <w:pPr>
              <w:adjustRightInd w:val="0"/>
              <w:snapToGrid w:val="0"/>
              <w:spacing w:line="360" w:lineRule="auto"/>
              <w:ind w:firstLine="480" w:firstLineChars="200"/>
              <w:rPr>
                <w:szCs w:val="24"/>
              </w:rPr>
            </w:pPr>
            <w:r>
              <w:rPr>
                <w:rFonts w:hint="eastAsia"/>
                <w:szCs w:val="24"/>
              </w:rPr>
              <w:t>工程施工废水主要为施工机械设备及车辆冲洗产生的废水等。混凝土拌和废水排放量小，不含有毒物质，排放具有间断性和分散性的特点，但存在泥沙悬浮物含量较大和混凝土工程废水pH 值偏高，SS浓度200～5000mg/L，pH值9～12。</w:t>
            </w:r>
          </w:p>
          <w:p>
            <w:pPr>
              <w:adjustRightInd w:val="0"/>
              <w:snapToGrid w:val="0"/>
              <w:spacing w:line="360" w:lineRule="auto"/>
              <w:ind w:firstLine="480" w:firstLineChars="200"/>
              <w:rPr>
                <w:szCs w:val="24"/>
              </w:rPr>
            </w:pPr>
            <w:r>
              <w:rPr>
                <w:rFonts w:hint="eastAsia"/>
                <w:szCs w:val="24"/>
              </w:rPr>
              <w:t>③生活污水</w:t>
            </w:r>
          </w:p>
          <w:p>
            <w:pPr>
              <w:adjustRightInd w:val="0"/>
              <w:snapToGrid w:val="0"/>
              <w:spacing w:line="360" w:lineRule="auto"/>
              <w:ind w:firstLine="480" w:firstLineChars="200"/>
              <w:rPr>
                <w:szCs w:val="24"/>
              </w:rPr>
            </w:pPr>
            <w:r>
              <w:rPr>
                <w:rFonts w:hint="eastAsia"/>
                <w:szCs w:val="24"/>
              </w:rPr>
              <w:t>由于本项目管道施工属于线性工程施工，施工范围较广，故需分时间、分段、分区施工。</w:t>
            </w:r>
          </w:p>
          <w:p>
            <w:pPr>
              <w:adjustRightInd w:val="0"/>
              <w:snapToGrid w:val="0"/>
              <w:spacing w:line="360" w:lineRule="auto"/>
              <w:ind w:firstLine="480" w:firstLineChars="200"/>
              <w:rPr>
                <w:szCs w:val="24"/>
              </w:rPr>
            </w:pPr>
            <w:r>
              <w:rPr>
                <w:rFonts w:hint="eastAsia"/>
                <w:szCs w:val="24"/>
              </w:rPr>
              <w:t xml:space="preserve">项目施工期间不设施工营地，施工人员为均为附近村民，施工人员生活粪便依托就近的村民厕所处理。生活废水主要施工人员的清洗废水。本项目施工人员总数约为200人，根据《云南省用水定额》（DB53/T168-2019）并结合当地实际情况，用水量按照 15L/人·d 计，则项目施工期施工人员每天生活用水量约为3m </w:t>
            </w:r>
            <w:r>
              <w:rPr>
                <w:rFonts w:hint="eastAsia"/>
                <w:szCs w:val="24"/>
                <w:vertAlign w:val="superscript"/>
              </w:rPr>
              <w:t>3</w:t>
            </w:r>
            <w:r>
              <w:rPr>
                <w:rFonts w:hint="eastAsia"/>
                <w:szCs w:val="24"/>
              </w:rPr>
              <w:t xml:space="preserve"> /d，生活污水的产生量按用水量的 80%计算，则每天产生的生活污水为 2.4m </w:t>
            </w:r>
            <w:r>
              <w:rPr>
                <w:rFonts w:hint="eastAsia"/>
                <w:szCs w:val="24"/>
                <w:vertAlign w:val="superscript"/>
              </w:rPr>
              <w:t>3</w:t>
            </w:r>
            <w:r>
              <w:rPr>
                <w:rFonts w:hint="eastAsia"/>
                <w:szCs w:val="24"/>
              </w:rPr>
              <w:t xml:space="preserve"> /d。施工人员的生活废水主要污染物为 COD、氨氮、总磷、动植物油及悬浮物等。由于生活污水产生量较少且产生源较分散，不便收集，可经沉淀处理后用于施工场地的洒水降尘，不外排。</w:t>
            </w:r>
          </w:p>
          <w:p>
            <w:pPr>
              <w:adjustRightInd w:val="0"/>
              <w:snapToGrid w:val="0"/>
              <w:spacing w:line="360" w:lineRule="auto"/>
              <w:ind w:firstLine="482" w:firstLineChars="200"/>
              <w:outlineLvl w:val="1"/>
              <w:rPr>
                <w:b/>
                <w:bCs/>
                <w:szCs w:val="24"/>
              </w:rPr>
            </w:pPr>
            <w:r>
              <w:rPr>
                <w:rFonts w:hint="eastAsia"/>
                <w:b/>
                <w:bCs/>
                <w:szCs w:val="24"/>
              </w:rPr>
              <w:t>（3）</w:t>
            </w:r>
            <w:r>
              <w:rPr>
                <w:b/>
                <w:bCs/>
                <w:szCs w:val="24"/>
              </w:rPr>
              <w:t>噪声</w:t>
            </w:r>
          </w:p>
          <w:p>
            <w:pPr>
              <w:adjustRightInd w:val="0"/>
              <w:snapToGrid w:val="0"/>
              <w:spacing w:line="360" w:lineRule="auto"/>
              <w:ind w:firstLine="480" w:firstLineChars="200"/>
              <w:rPr>
                <w:szCs w:val="24"/>
              </w:rPr>
            </w:pPr>
            <w:r>
              <w:rPr>
                <w:rFonts w:hint="eastAsia"/>
                <w:szCs w:val="24"/>
              </w:rPr>
              <w:t>项目施工期噪声源主要来自于</w:t>
            </w:r>
            <w:r>
              <w:rPr>
                <w:rFonts w:hint="eastAsia"/>
                <w:snapToGrid w:val="0"/>
                <w:szCs w:val="24"/>
              </w:rPr>
              <w:t>污水管道、检查井开挖环节</w:t>
            </w:r>
            <w:r>
              <w:rPr>
                <w:rFonts w:hint="eastAsia"/>
                <w:szCs w:val="24"/>
              </w:rPr>
              <w:t>以及交通运输活动，分为固定噪声源和流动噪声。</w:t>
            </w:r>
          </w:p>
          <w:p>
            <w:pPr>
              <w:adjustRightInd w:val="0"/>
              <w:snapToGrid w:val="0"/>
              <w:spacing w:line="360" w:lineRule="auto"/>
              <w:ind w:firstLine="480" w:firstLineChars="200"/>
              <w:rPr>
                <w:snapToGrid w:val="0"/>
                <w:szCs w:val="24"/>
              </w:rPr>
            </w:pPr>
            <w:r>
              <w:rPr>
                <w:rFonts w:hint="eastAsia"/>
                <w:snapToGrid w:val="0"/>
                <w:szCs w:val="24"/>
              </w:rPr>
              <w:t>①固定噪声源</w:t>
            </w:r>
          </w:p>
          <w:p>
            <w:pPr>
              <w:adjustRightInd w:val="0"/>
              <w:snapToGrid w:val="0"/>
              <w:spacing w:line="360" w:lineRule="auto"/>
              <w:ind w:firstLine="480" w:firstLineChars="200"/>
              <w:rPr>
                <w:snapToGrid w:val="0"/>
                <w:szCs w:val="24"/>
              </w:rPr>
            </w:pPr>
            <w:r>
              <w:rPr>
                <w:rFonts w:hint="eastAsia"/>
                <w:snapToGrid w:val="0"/>
                <w:szCs w:val="24"/>
              </w:rPr>
              <w:t>本项目固定噪声源主要来自主体施工区、混凝土拌和系统施工机械设备产生的噪声。施工中使用的主要机械设备有挖掘机、夯实机、潜孔钻、混凝土搅拌机、振捣器、起重机、泵类等。</w:t>
            </w:r>
          </w:p>
          <w:p>
            <w:pPr>
              <w:adjustRightInd w:val="0"/>
              <w:snapToGrid w:val="0"/>
              <w:spacing w:line="360" w:lineRule="auto"/>
              <w:ind w:firstLine="480" w:firstLineChars="200"/>
              <w:rPr>
                <w:snapToGrid w:val="0"/>
                <w:szCs w:val="24"/>
              </w:rPr>
            </w:pPr>
            <w:r>
              <w:rPr>
                <w:rFonts w:hint="eastAsia"/>
                <w:snapToGrid w:val="0"/>
                <w:szCs w:val="24"/>
              </w:rPr>
              <w:t>②流动噪声</w:t>
            </w:r>
          </w:p>
          <w:p>
            <w:pPr>
              <w:adjustRightInd w:val="0"/>
              <w:snapToGrid w:val="0"/>
              <w:spacing w:line="360" w:lineRule="auto"/>
              <w:ind w:firstLine="480" w:firstLineChars="200"/>
              <w:rPr>
                <w:snapToGrid w:val="0"/>
                <w:szCs w:val="24"/>
              </w:rPr>
            </w:pPr>
            <w:r>
              <w:rPr>
                <w:rFonts w:hint="eastAsia"/>
                <w:snapToGrid w:val="0"/>
                <w:szCs w:val="24"/>
              </w:rPr>
              <w:t>本工程的流动噪声主要来源于车辆运输。交通噪声属于流动声源，其源强大小与车流量、车速以及路况等因素有关。施工区主要来往车辆为载重量5t—10t级载重车、拖拉机等。</w:t>
            </w:r>
            <w:r>
              <w:rPr>
                <w:snapToGrid w:val="0"/>
                <w:szCs w:val="24"/>
              </w:rPr>
              <w:t>施工噪声值参见表</w:t>
            </w:r>
            <w:r>
              <w:rPr>
                <w:rFonts w:hint="eastAsia"/>
                <w:snapToGrid w:val="0"/>
                <w:szCs w:val="24"/>
              </w:rPr>
              <w:t>下表：</w:t>
            </w:r>
          </w:p>
          <w:p>
            <w:pPr>
              <w:adjustRightInd w:val="0"/>
              <w:snapToGrid w:val="0"/>
              <w:spacing w:line="360" w:lineRule="auto"/>
              <w:ind w:firstLine="422" w:firstLineChars="200"/>
              <w:jc w:val="center"/>
              <w:rPr>
                <w:b/>
                <w:bCs/>
                <w:sz w:val="21"/>
                <w:szCs w:val="18"/>
              </w:rPr>
            </w:pPr>
            <w:r>
              <w:rPr>
                <w:rFonts w:hint="eastAsia"/>
                <w:b/>
                <w:bCs/>
                <w:sz w:val="21"/>
                <w:szCs w:val="18"/>
              </w:rPr>
              <w:t>表5-1   工程主要施工机械源强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707"/>
              <w:gridCol w:w="1384"/>
              <w:gridCol w:w="1293"/>
              <w:gridCol w:w="124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Align w:val="center"/>
                </w:tcPr>
                <w:p>
                  <w:pPr>
                    <w:adjustRightInd w:val="0"/>
                    <w:snapToGrid w:val="0"/>
                    <w:rPr>
                      <w:b/>
                      <w:bCs/>
                      <w:sz w:val="21"/>
                      <w:szCs w:val="21"/>
                    </w:rPr>
                  </w:pPr>
                  <w:r>
                    <w:rPr>
                      <w:rFonts w:hint="eastAsia"/>
                      <w:b/>
                      <w:bCs/>
                      <w:sz w:val="21"/>
                      <w:szCs w:val="21"/>
                    </w:rPr>
                    <w:t>噪声分类</w:t>
                  </w:r>
                </w:p>
              </w:tc>
              <w:tc>
                <w:tcPr>
                  <w:tcW w:w="1707" w:type="dxa"/>
                  <w:vAlign w:val="center"/>
                </w:tcPr>
                <w:p>
                  <w:pPr>
                    <w:adjustRightInd w:val="0"/>
                    <w:snapToGrid w:val="0"/>
                    <w:ind w:firstLine="113"/>
                    <w:jc w:val="center"/>
                    <w:rPr>
                      <w:b/>
                      <w:bCs/>
                      <w:sz w:val="21"/>
                      <w:szCs w:val="21"/>
                    </w:rPr>
                  </w:pPr>
                  <w:r>
                    <w:rPr>
                      <w:rFonts w:hint="eastAsia"/>
                      <w:b/>
                      <w:bCs/>
                      <w:sz w:val="21"/>
                      <w:szCs w:val="21"/>
                    </w:rPr>
                    <w:t>噪声源</w:t>
                  </w:r>
                </w:p>
              </w:tc>
              <w:tc>
                <w:tcPr>
                  <w:tcW w:w="1384" w:type="dxa"/>
                  <w:vAlign w:val="center"/>
                </w:tcPr>
                <w:p>
                  <w:pPr>
                    <w:adjustRightInd w:val="0"/>
                    <w:snapToGrid w:val="0"/>
                    <w:ind w:firstLine="113"/>
                    <w:jc w:val="center"/>
                    <w:rPr>
                      <w:b/>
                      <w:bCs/>
                      <w:sz w:val="21"/>
                      <w:szCs w:val="21"/>
                    </w:rPr>
                  </w:pPr>
                  <w:r>
                    <w:rPr>
                      <w:b/>
                      <w:bCs/>
                      <w:sz w:val="21"/>
                      <w:szCs w:val="21"/>
                    </w:rPr>
                    <w:t>噪声</w:t>
                  </w:r>
                  <w:r>
                    <w:rPr>
                      <w:rFonts w:hint="eastAsia"/>
                      <w:b/>
                      <w:bCs/>
                      <w:sz w:val="21"/>
                      <w:szCs w:val="21"/>
                    </w:rPr>
                    <w:t>值</w:t>
                  </w:r>
                  <w:r>
                    <w:rPr>
                      <w:b/>
                      <w:bCs/>
                      <w:sz w:val="21"/>
                      <w:szCs w:val="21"/>
                    </w:rPr>
                    <w:t>(dB)</w:t>
                  </w:r>
                </w:p>
              </w:tc>
              <w:tc>
                <w:tcPr>
                  <w:tcW w:w="1293" w:type="dxa"/>
                  <w:vAlign w:val="center"/>
                </w:tcPr>
                <w:p>
                  <w:pPr>
                    <w:adjustRightInd w:val="0"/>
                    <w:snapToGrid w:val="0"/>
                    <w:ind w:firstLine="113"/>
                    <w:jc w:val="center"/>
                    <w:rPr>
                      <w:b/>
                      <w:bCs/>
                      <w:sz w:val="21"/>
                      <w:szCs w:val="21"/>
                    </w:rPr>
                  </w:pPr>
                  <w:r>
                    <w:rPr>
                      <w:rFonts w:hint="eastAsia"/>
                      <w:b/>
                      <w:bCs/>
                      <w:sz w:val="21"/>
                      <w:szCs w:val="21"/>
                    </w:rPr>
                    <w:t>噪声分类</w:t>
                  </w:r>
                </w:p>
              </w:tc>
              <w:tc>
                <w:tcPr>
                  <w:tcW w:w="1241" w:type="dxa"/>
                  <w:vAlign w:val="center"/>
                </w:tcPr>
                <w:p>
                  <w:pPr>
                    <w:adjustRightInd w:val="0"/>
                    <w:snapToGrid w:val="0"/>
                    <w:ind w:firstLine="113"/>
                    <w:jc w:val="center"/>
                    <w:rPr>
                      <w:b/>
                      <w:bCs/>
                      <w:sz w:val="21"/>
                      <w:szCs w:val="21"/>
                    </w:rPr>
                  </w:pPr>
                  <w:r>
                    <w:rPr>
                      <w:rFonts w:hint="eastAsia"/>
                      <w:b/>
                      <w:bCs/>
                      <w:sz w:val="21"/>
                      <w:szCs w:val="21"/>
                    </w:rPr>
                    <w:t>噪声源</w:t>
                  </w:r>
                </w:p>
              </w:tc>
              <w:tc>
                <w:tcPr>
                  <w:tcW w:w="1384" w:type="dxa"/>
                  <w:vAlign w:val="center"/>
                </w:tcPr>
                <w:p>
                  <w:pPr>
                    <w:adjustRightInd w:val="0"/>
                    <w:snapToGrid w:val="0"/>
                    <w:ind w:firstLine="113"/>
                    <w:jc w:val="center"/>
                    <w:rPr>
                      <w:b/>
                      <w:bCs/>
                      <w:sz w:val="21"/>
                      <w:szCs w:val="21"/>
                    </w:rPr>
                  </w:pPr>
                  <w:r>
                    <w:rPr>
                      <w:b/>
                      <w:bCs/>
                      <w:sz w:val="21"/>
                      <w:szCs w:val="21"/>
                    </w:rPr>
                    <w:t>噪声</w:t>
                  </w:r>
                  <w:r>
                    <w:rPr>
                      <w:rFonts w:hint="eastAsia"/>
                      <w:b/>
                      <w:bCs/>
                      <w:sz w:val="21"/>
                      <w:szCs w:val="21"/>
                    </w:rPr>
                    <w:t>值</w:t>
                  </w:r>
                  <w:r>
                    <w:rPr>
                      <w:b/>
                      <w:bCs/>
                      <w:sz w:val="21"/>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restart"/>
                  <w:vAlign w:val="center"/>
                </w:tcPr>
                <w:p>
                  <w:pPr>
                    <w:adjustRightInd w:val="0"/>
                    <w:snapToGrid w:val="0"/>
                    <w:ind w:firstLine="113"/>
                    <w:jc w:val="center"/>
                    <w:rPr>
                      <w:sz w:val="21"/>
                      <w:szCs w:val="21"/>
                    </w:rPr>
                  </w:pPr>
                  <w:r>
                    <w:rPr>
                      <w:rFonts w:hint="eastAsia"/>
                      <w:sz w:val="21"/>
                      <w:szCs w:val="21"/>
                    </w:rPr>
                    <w:t>固定源噪声</w:t>
                  </w:r>
                </w:p>
              </w:tc>
              <w:tc>
                <w:tcPr>
                  <w:tcW w:w="1707" w:type="dxa"/>
                  <w:vAlign w:val="center"/>
                </w:tcPr>
                <w:p>
                  <w:pPr>
                    <w:adjustRightInd w:val="0"/>
                    <w:snapToGrid w:val="0"/>
                    <w:ind w:firstLine="113"/>
                    <w:jc w:val="center"/>
                    <w:rPr>
                      <w:sz w:val="21"/>
                      <w:szCs w:val="21"/>
                    </w:rPr>
                  </w:pPr>
                  <w:r>
                    <w:rPr>
                      <w:rFonts w:hint="eastAsia"/>
                      <w:sz w:val="21"/>
                      <w:szCs w:val="21"/>
                    </w:rPr>
                    <w:t>夯实机</w:t>
                  </w:r>
                </w:p>
              </w:tc>
              <w:tc>
                <w:tcPr>
                  <w:tcW w:w="1384" w:type="dxa"/>
                  <w:vAlign w:val="center"/>
                </w:tcPr>
                <w:p>
                  <w:pPr>
                    <w:adjustRightInd w:val="0"/>
                    <w:snapToGrid w:val="0"/>
                    <w:ind w:firstLine="113"/>
                    <w:jc w:val="center"/>
                    <w:rPr>
                      <w:sz w:val="21"/>
                      <w:szCs w:val="21"/>
                    </w:rPr>
                  </w:pPr>
                  <w:r>
                    <w:rPr>
                      <w:sz w:val="21"/>
                      <w:szCs w:val="21"/>
                    </w:rPr>
                    <w:t>75～88</w:t>
                  </w:r>
                </w:p>
              </w:tc>
              <w:tc>
                <w:tcPr>
                  <w:tcW w:w="1293" w:type="dxa"/>
                  <w:vMerge w:val="restart"/>
                  <w:vAlign w:val="center"/>
                </w:tcPr>
                <w:p>
                  <w:pPr>
                    <w:adjustRightInd w:val="0"/>
                    <w:snapToGrid w:val="0"/>
                    <w:ind w:firstLine="113"/>
                    <w:jc w:val="center"/>
                    <w:rPr>
                      <w:sz w:val="21"/>
                      <w:szCs w:val="21"/>
                    </w:rPr>
                  </w:pPr>
                  <w:r>
                    <w:rPr>
                      <w:rFonts w:hint="eastAsia"/>
                      <w:sz w:val="21"/>
                      <w:szCs w:val="21"/>
                    </w:rPr>
                    <w:t>固定源噪声</w:t>
                  </w:r>
                </w:p>
              </w:tc>
              <w:tc>
                <w:tcPr>
                  <w:tcW w:w="1241" w:type="dxa"/>
                  <w:vAlign w:val="center"/>
                </w:tcPr>
                <w:p>
                  <w:pPr>
                    <w:adjustRightInd w:val="0"/>
                    <w:snapToGrid w:val="0"/>
                    <w:ind w:firstLine="113"/>
                    <w:jc w:val="center"/>
                    <w:rPr>
                      <w:sz w:val="21"/>
                      <w:szCs w:val="21"/>
                    </w:rPr>
                  </w:pPr>
                  <w:r>
                    <w:rPr>
                      <w:sz w:val="21"/>
                      <w:szCs w:val="21"/>
                    </w:rPr>
                    <w:t>潜孔钻</w:t>
                  </w:r>
                </w:p>
              </w:tc>
              <w:tc>
                <w:tcPr>
                  <w:tcW w:w="1384" w:type="dxa"/>
                  <w:vAlign w:val="center"/>
                </w:tcPr>
                <w:p>
                  <w:pPr>
                    <w:adjustRightInd w:val="0"/>
                    <w:snapToGrid w:val="0"/>
                    <w:ind w:firstLine="113"/>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混凝土振捣器</w:t>
                  </w:r>
                </w:p>
              </w:tc>
              <w:tc>
                <w:tcPr>
                  <w:tcW w:w="1384" w:type="dxa"/>
                  <w:vAlign w:val="center"/>
                </w:tcPr>
                <w:p>
                  <w:pPr>
                    <w:adjustRightInd w:val="0"/>
                    <w:snapToGrid w:val="0"/>
                    <w:ind w:firstLine="113"/>
                    <w:jc w:val="center"/>
                    <w:rPr>
                      <w:sz w:val="21"/>
                      <w:szCs w:val="21"/>
                    </w:rPr>
                  </w:pPr>
                  <w:r>
                    <w:rPr>
                      <w:sz w:val="21"/>
                      <w:szCs w:val="21"/>
                    </w:rPr>
                    <w:t>90</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rFonts w:hint="eastAsia"/>
                      <w:sz w:val="21"/>
                      <w:szCs w:val="21"/>
                    </w:rPr>
                    <w:t>起重机</w:t>
                  </w:r>
                </w:p>
              </w:tc>
              <w:tc>
                <w:tcPr>
                  <w:tcW w:w="1384" w:type="dxa"/>
                  <w:vAlign w:val="center"/>
                </w:tcPr>
                <w:p>
                  <w:pPr>
                    <w:adjustRightInd w:val="0"/>
                    <w:snapToGrid w:val="0"/>
                    <w:ind w:firstLine="113"/>
                    <w:jc w:val="center"/>
                    <w:rPr>
                      <w:sz w:val="21"/>
                      <w:szCs w:val="21"/>
                    </w:rPr>
                  </w:pPr>
                  <w:r>
                    <w:rPr>
                      <w:rFonts w:hint="eastAsia"/>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卷扬机</w:t>
                  </w:r>
                </w:p>
              </w:tc>
              <w:tc>
                <w:tcPr>
                  <w:tcW w:w="1384" w:type="dxa"/>
                  <w:vAlign w:val="center"/>
                </w:tcPr>
                <w:p>
                  <w:pPr>
                    <w:adjustRightInd w:val="0"/>
                    <w:snapToGrid w:val="0"/>
                    <w:ind w:firstLine="113"/>
                    <w:jc w:val="center"/>
                    <w:rPr>
                      <w:sz w:val="21"/>
                      <w:szCs w:val="21"/>
                    </w:rPr>
                  </w:pPr>
                  <w:r>
                    <w:rPr>
                      <w:sz w:val="21"/>
                      <w:szCs w:val="21"/>
                    </w:rPr>
                    <w:t>75～88</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sz w:val="21"/>
                      <w:szCs w:val="21"/>
                    </w:rPr>
                    <w:t>泵类</w:t>
                  </w:r>
                </w:p>
              </w:tc>
              <w:tc>
                <w:tcPr>
                  <w:tcW w:w="1384" w:type="dxa"/>
                  <w:vAlign w:val="center"/>
                </w:tcPr>
                <w:p>
                  <w:pPr>
                    <w:adjustRightInd w:val="0"/>
                    <w:snapToGrid w:val="0"/>
                    <w:ind w:firstLine="113"/>
                    <w:jc w:val="center"/>
                    <w:rPr>
                      <w:sz w:val="21"/>
                      <w:szCs w:val="21"/>
                    </w:rPr>
                  </w:pPr>
                  <w:r>
                    <w:rPr>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装载机</w:t>
                  </w:r>
                </w:p>
              </w:tc>
              <w:tc>
                <w:tcPr>
                  <w:tcW w:w="1384" w:type="dxa"/>
                  <w:vAlign w:val="center"/>
                </w:tcPr>
                <w:p>
                  <w:pPr>
                    <w:adjustRightInd w:val="0"/>
                    <w:snapToGrid w:val="0"/>
                    <w:ind w:firstLine="113"/>
                    <w:jc w:val="center"/>
                    <w:rPr>
                      <w:sz w:val="21"/>
                      <w:szCs w:val="21"/>
                    </w:rPr>
                  </w:pPr>
                  <w:r>
                    <w:rPr>
                      <w:sz w:val="21"/>
                      <w:szCs w:val="21"/>
                    </w:rPr>
                    <w:t>85～98</w:t>
                  </w:r>
                </w:p>
              </w:tc>
              <w:tc>
                <w:tcPr>
                  <w:tcW w:w="1293" w:type="dxa"/>
                  <w:vMerge w:val="restart"/>
                  <w:vAlign w:val="center"/>
                </w:tcPr>
                <w:p>
                  <w:pPr>
                    <w:adjustRightInd w:val="0"/>
                    <w:snapToGrid w:val="0"/>
                    <w:ind w:firstLine="113"/>
                    <w:jc w:val="center"/>
                    <w:rPr>
                      <w:sz w:val="21"/>
                      <w:szCs w:val="21"/>
                    </w:rPr>
                  </w:pPr>
                  <w:r>
                    <w:rPr>
                      <w:rFonts w:hint="eastAsia"/>
                      <w:sz w:val="21"/>
                      <w:szCs w:val="21"/>
                    </w:rPr>
                    <w:t>流动噪声</w:t>
                  </w:r>
                </w:p>
              </w:tc>
              <w:tc>
                <w:tcPr>
                  <w:tcW w:w="1241" w:type="dxa"/>
                  <w:vAlign w:val="center"/>
                </w:tcPr>
                <w:p>
                  <w:pPr>
                    <w:adjustRightInd w:val="0"/>
                    <w:snapToGrid w:val="0"/>
                    <w:ind w:firstLine="113"/>
                    <w:jc w:val="center"/>
                    <w:rPr>
                      <w:sz w:val="21"/>
                      <w:szCs w:val="21"/>
                    </w:rPr>
                  </w:pPr>
                  <w:r>
                    <w:rPr>
                      <w:sz w:val="21"/>
                      <w:szCs w:val="21"/>
                    </w:rPr>
                    <w:t>载重汽车</w:t>
                  </w:r>
                </w:p>
              </w:tc>
              <w:tc>
                <w:tcPr>
                  <w:tcW w:w="1384" w:type="dxa"/>
                  <w:vAlign w:val="center"/>
                </w:tcPr>
                <w:p>
                  <w:pPr>
                    <w:adjustRightInd w:val="0"/>
                    <w:snapToGrid w:val="0"/>
                    <w:ind w:firstLine="113"/>
                    <w:jc w:val="center"/>
                    <w:rPr>
                      <w:sz w:val="21"/>
                      <w:szCs w:val="21"/>
                    </w:rPr>
                  </w:pPr>
                  <w:r>
                    <w:rPr>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挖掘机</w:t>
                  </w:r>
                </w:p>
              </w:tc>
              <w:tc>
                <w:tcPr>
                  <w:tcW w:w="1384" w:type="dxa"/>
                  <w:vAlign w:val="center"/>
                </w:tcPr>
                <w:p>
                  <w:pPr>
                    <w:adjustRightInd w:val="0"/>
                    <w:snapToGrid w:val="0"/>
                    <w:ind w:firstLine="113"/>
                    <w:jc w:val="center"/>
                    <w:rPr>
                      <w:sz w:val="21"/>
                      <w:szCs w:val="21"/>
                    </w:rPr>
                  </w:pPr>
                  <w:r>
                    <w:rPr>
                      <w:sz w:val="21"/>
                      <w:szCs w:val="21"/>
                    </w:rPr>
                    <w:t>80～95</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sz w:val="21"/>
                      <w:szCs w:val="21"/>
                    </w:rPr>
                    <w:t>自卸汽车</w:t>
                  </w:r>
                </w:p>
              </w:tc>
              <w:tc>
                <w:tcPr>
                  <w:tcW w:w="1384" w:type="dxa"/>
                  <w:vAlign w:val="center"/>
                </w:tcPr>
                <w:p>
                  <w:pPr>
                    <w:adjustRightInd w:val="0"/>
                    <w:snapToGrid w:val="0"/>
                    <w:ind w:firstLine="113"/>
                    <w:jc w:val="center"/>
                    <w:rPr>
                      <w:sz w:val="21"/>
                      <w:szCs w:val="21"/>
                    </w:rPr>
                  </w:pPr>
                  <w:r>
                    <w:rPr>
                      <w:sz w:val="21"/>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空压机</w:t>
                  </w:r>
                </w:p>
              </w:tc>
              <w:tc>
                <w:tcPr>
                  <w:tcW w:w="1384" w:type="dxa"/>
                  <w:vAlign w:val="center"/>
                </w:tcPr>
                <w:p>
                  <w:pPr>
                    <w:adjustRightInd w:val="0"/>
                    <w:snapToGrid w:val="0"/>
                    <w:ind w:firstLine="113"/>
                    <w:jc w:val="center"/>
                    <w:rPr>
                      <w:sz w:val="21"/>
                      <w:szCs w:val="21"/>
                    </w:rPr>
                  </w:pPr>
                  <w:r>
                    <w:rPr>
                      <w:sz w:val="21"/>
                      <w:szCs w:val="21"/>
                    </w:rPr>
                    <w:t>89</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sz w:val="21"/>
                      <w:szCs w:val="21"/>
                    </w:rPr>
                    <w:t>推土机</w:t>
                  </w:r>
                </w:p>
              </w:tc>
              <w:tc>
                <w:tcPr>
                  <w:tcW w:w="1384" w:type="dxa"/>
                  <w:vAlign w:val="center"/>
                </w:tcPr>
                <w:p>
                  <w:pPr>
                    <w:adjustRightInd w:val="0"/>
                    <w:snapToGrid w:val="0"/>
                    <w:ind w:firstLine="113"/>
                    <w:jc w:val="center"/>
                    <w:rPr>
                      <w:sz w:val="21"/>
                      <w:szCs w:val="21"/>
                    </w:rPr>
                  </w:pPr>
                  <w:r>
                    <w:rPr>
                      <w:sz w:val="21"/>
                      <w:szCs w:val="21"/>
                    </w:rPr>
                    <w:t>78～96</w:t>
                  </w:r>
                </w:p>
              </w:tc>
            </w:tr>
          </w:tbl>
          <w:p>
            <w:pPr>
              <w:adjustRightInd w:val="0"/>
              <w:snapToGrid w:val="0"/>
              <w:spacing w:beforeLines="50" w:line="360" w:lineRule="auto"/>
              <w:ind w:firstLine="482" w:firstLineChars="200"/>
              <w:outlineLvl w:val="1"/>
              <w:rPr>
                <w:szCs w:val="24"/>
              </w:rPr>
            </w:pPr>
            <w:r>
              <w:rPr>
                <w:rFonts w:hint="eastAsia"/>
                <w:b/>
                <w:bCs/>
                <w:szCs w:val="24"/>
              </w:rPr>
              <w:t>（4）固体废物</w:t>
            </w:r>
          </w:p>
          <w:p>
            <w:pPr>
              <w:adjustRightInd w:val="0"/>
              <w:snapToGrid w:val="0"/>
              <w:spacing w:line="360" w:lineRule="auto"/>
              <w:ind w:firstLine="480" w:firstLineChars="200"/>
              <w:rPr>
                <w:szCs w:val="24"/>
              </w:rPr>
            </w:pPr>
            <w:r>
              <w:rPr>
                <w:rFonts w:hint="eastAsia"/>
                <w:szCs w:val="24"/>
              </w:rPr>
              <w:t>施工期固体废弃物主要包括建筑垃圾、管沟开挖带来的废土石、管道清淤产生的污泥及施工人员的生活垃圾等。</w:t>
            </w:r>
          </w:p>
          <w:p>
            <w:pPr>
              <w:adjustRightInd w:val="0"/>
              <w:snapToGrid w:val="0"/>
              <w:spacing w:line="360" w:lineRule="auto"/>
              <w:ind w:firstLine="480" w:firstLineChars="200"/>
              <w:rPr>
                <w:szCs w:val="24"/>
              </w:rPr>
            </w:pPr>
            <w:r>
              <w:rPr>
                <w:rFonts w:hint="eastAsia"/>
                <w:szCs w:val="24"/>
              </w:rPr>
              <w:t>①土石方</w:t>
            </w:r>
          </w:p>
          <w:p>
            <w:pPr>
              <w:adjustRightInd w:val="0"/>
              <w:snapToGrid w:val="0"/>
              <w:spacing w:line="360" w:lineRule="auto"/>
              <w:ind w:firstLine="480" w:firstLineChars="200"/>
              <w:rPr>
                <w:szCs w:val="24"/>
              </w:rPr>
            </w:pPr>
            <w:r>
              <w:rPr>
                <w:rFonts w:hint="eastAsia"/>
                <w:szCs w:val="24"/>
              </w:rPr>
              <w:t>本项目在管沟、检查井等开挖过程中会产生大量的土石方。项目新建管网32km，管沟平均开挖深度为3m，路面平均开凿深度0.2m。</w:t>
            </w:r>
            <w:r>
              <w:rPr>
                <w:rFonts w:hint="eastAsia"/>
                <w:bCs/>
                <w:szCs w:val="24"/>
              </w:rPr>
              <w:t>根据项目可行性研究报告，项目采用</w:t>
            </w:r>
            <w:r>
              <w:rPr>
                <w:rFonts w:hint="eastAsia" w:ascii="宋体" w:hAnsi="宋体" w:cs="宋体"/>
              </w:rPr>
              <w:t>开槽式进行施工。</w:t>
            </w:r>
            <w:r>
              <w:rPr>
                <w:rFonts w:hint="eastAsia"/>
                <w:szCs w:val="24"/>
              </w:rPr>
              <w:t>因此，开挖过程中产生土石方量约为96000m</w:t>
            </w:r>
            <w:r>
              <w:rPr>
                <w:rFonts w:hint="eastAsia"/>
                <w:szCs w:val="24"/>
                <w:vertAlign w:val="superscript"/>
              </w:rPr>
              <w:t>3</w:t>
            </w:r>
            <w:r>
              <w:rPr>
                <w:rFonts w:hint="eastAsia"/>
                <w:szCs w:val="24"/>
              </w:rPr>
              <w:t xml:space="preserve"> （其中：路面开凿产生建筑垃圾6400m</w:t>
            </w:r>
            <w:r>
              <w:rPr>
                <w:rFonts w:hint="eastAsia"/>
                <w:szCs w:val="24"/>
                <w:vertAlign w:val="superscript"/>
              </w:rPr>
              <w:t>3</w:t>
            </w:r>
            <w:r>
              <w:rPr>
                <w:rFonts w:hint="eastAsia"/>
                <w:szCs w:val="24"/>
              </w:rPr>
              <w:t>）。</w:t>
            </w:r>
          </w:p>
          <w:p>
            <w:pPr>
              <w:tabs>
                <w:tab w:val="left" w:pos="3100"/>
              </w:tabs>
              <w:adjustRightInd w:val="0"/>
              <w:snapToGrid w:val="0"/>
              <w:spacing w:line="360" w:lineRule="auto"/>
              <w:ind w:firstLine="480" w:firstLineChars="200"/>
              <w:rPr>
                <w:bCs/>
                <w:szCs w:val="24"/>
              </w:rPr>
            </w:pPr>
            <w:r>
              <w:rPr>
                <w:rFonts w:hint="eastAsia"/>
                <w:bCs/>
                <w:szCs w:val="24"/>
              </w:rPr>
              <w:t> ②污泥</w:t>
            </w:r>
          </w:p>
          <w:p>
            <w:pPr>
              <w:tabs>
                <w:tab w:val="left" w:pos="3100"/>
              </w:tabs>
              <w:adjustRightInd w:val="0"/>
              <w:snapToGrid w:val="0"/>
              <w:spacing w:line="360" w:lineRule="auto"/>
              <w:ind w:firstLine="480" w:firstLineChars="200"/>
              <w:rPr>
                <w:bCs/>
                <w:szCs w:val="24"/>
              </w:rPr>
            </w:pPr>
            <w:r>
              <w:rPr>
                <w:rFonts w:hint="eastAsia"/>
                <w:bCs/>
                <w:szCs w:val="24"/>
              </w:rPr>
              <w:t>本项目在管道清淤过程中会产生一定量的污泥。项目涉及清淤管道148km，根据项目可行性研究报告，项目采用</w:t>
            </w:r>
            <w:r>
              <w:rPr>
                <w:rFonts w:hint="eastAsia" w:ascii="宋体" w:hAnsi="宋体" w:cs="宋体"/>
              </w:rPr>
              <w:t>高压水射流清淤法进行施工。</w:t>
            </w:r>
            <w:r>
              <w:rPr>
                <w:rFonts w:hint="eastAsia"/>
                <w:bCs/>
                <w:szCs w:val="24"/>
              </w:rPr>
              <w:t>高压水射流清洗使用一台高压射水车，装备有大型水罐、机动卷管器、高压水泵、射水喷头等。操作时由汽车引擎驱动高压泵，将水加压后送入射水喷嘴，其向后喷射产生的反作用力使射水喷头和胶管一起向反方向前进，也同时清洗管壁；当喷头到达下游检查井时，机动绞车将软管收回，射水喷头继续喷射，水流将残余的沉淀物冲到下游的检查井，最终由吸泥车直接将污泥等吸走，外运至附近的集镇污水处理厂脱水处理达标后，与污水处理厂污泥一并清运至洱源县垃圾填埋场。</w:t>
            </w:r>
          </w:p>
          <w:p>
            <w:pPr>
              <w:tabs>
                <w:tab w:val="left" w:pos="3100"/>
              </w:tabs>
              <w:adjustRightInd w:val="0"/>
              <w:snapToGrid w:val="0"/>
              <w:spacing w:line="360" w:lineRule="auto"/>
              <w:ind w:firstLine="480" w:firstLineChars="200"/>
              <w:rPr>
                <w:bCs/>
                <w:szCs w:val="24"/>
              </w:rPr>
            </w:pPr>
            <w:r>
              <w:rPr>
                <w:rFonts w:hint="eastAsia"/>
                <w:bCs/>
                <w:szCs w:val="24"/>
              </w:rPr>
              <w:t>③施工生活垃圾</w:t>
            </w:r>
          </w:p>
          <w:p>
            <w:pPr>
              <w:tabs>
                <w:tab w:val="left" w:pos="3100"/>
              </w:tabs>
              <w:adjustRightInd w:val="0"/>
              <w:snapToGrid w:val="0"/>
              <w:spacing w:line="360" w:lineRule="auto"/>
              <w:ind w:firstLine="480" w:firstLineChars="200"/>
              <w:rPr>
                <w:bCs/>
                <w:szCs w:val="24"/>
              </w:rPr>
            </w:pPr>
            <w:r>
              <w:rPr>
                <w:rFonts w:hint="eastAsia"/>
                <w:bCs/>
                <w:szCs w:val="24"/>
              </w:rPr>
              <w:t>项目施工期平均人数为200人，整个施工期为6个月（约180d），生活垃圾产生量按每人1.0kg/d，则施工期生活垃圾总产生量1.8t。</w:t>
            </w:r>
          </w:p>
          <w:p>
            <w:pPr>
              <w:tabs>
                <w:tab w:val="left" w:pos="3100"/>
              </w:tabs>
              <w:adjustRightInd w:val="0"/>
              <w:snapToGrid w:val="0"/>
              <w:spacing w:line="360" w:lineRule="auto"/>
              <w:ind w:firstLine="480" w:firstLineChars="200"/>
              <w:rPr>
                <w:bCs/>
                <w:szCs w:val="24"/>
              </w:rPr>
            </w:pPr>
            <w:r>
              <w:rPr>
                <w:rFonts w:hint="eastAsia"/>
                <w:bCs/>
                <w:szCs w:val="24"/>
              </w:rPr>
              <w:t>④施工垃圾</w:t>
            </w:r>
          </w:p>
          <w:p>
            <w:pPr>
              <w:tabs>
                <w:tab w:val="left" w:pos="3100"/>
              </w:tabs>
              <w:adjustRightInd w:val="0"/>
              <w:snapToGrid w:val="0"/>
              <w:spacing w:line="360" w:lineRule="auto"/>
              <w:ind w:firstLine="480" w:firstLineChars="200"/>
              <w:rPr>
                <w:b/>
                <w:szCs w:val="24"/>
              </w:rPr>
            </w:pPr>
            <w:r>
              <w:rPr>
                <w:rFonts w:hint="eastAsia"/>
                <w:bCs/>
                <w:szCs w:val="24"/>
              </w:rPr>
              <w:t>施工临时区会产生各种下脚料，如金属、塑料、废旧管材、包装袋、等垃圾，若处置不当也会对周围环境造成影响。</w:t>
            </w:r>
          </w:p>
          <w:p>
            <w:pPr>
              <w:tabs>
                <w:tab w:val="left" w:pos="3100"/>
              </w:tabs>
              <w:adjustRightInd w:val="0"/>
              <w:snapToGrid w:val="0"/>
              <w:spacing w:line="360" w:lineRule="auto"/>
              <w:ind w:firstLine="482" w:firstLineChars="200"/>
              <w:rPr>
                <w:szCs w:val="24"/>
              </w:rPr>
            </w:pPr>
            <w:r>
              <w:rPr>
                <w:rFonts w:hint="eastAsia"/>
                <w:b/>
                <w:szCs w:val="24"/>
              </w:rPr>
              <w:t>（5）非污染生态影响</w:t>
            </w:r>
          </w:p>
          <w:p>
            <w:pPr>
              <w:adjustRightInd w:val="0"/>
              <w:snapToGrid w:val="0"/>
              <w:spacing w:line="360" w:lineRule="auto"/>
              <w:ind w:firstLine="480" w:firstLineChars="200"/>
              <w:rPr>
                <w:bCs/>
              </w:rPr>
            </w:pPr>
            <w:r>
              <w:rPr>
                <w:rFonts w:hint="eastAsia"/>
                <w:bCs/>
              </w:rPr>
              <w:t>①对土地利用的影响</w:t>
            </w:r>
          </w:p>
          <w:p>
            <w:pPr>
              <w:autoSpaceDE w:val="0"/>
              <w:autoSpaceDN w:val="0"/>
              <w:adjustRightInd w:val="0"/>
              <w:snapToGrid w:val="0"/>
              <w:spacing w:line="360" w:lineRule="auto"/>
              <w:ind w:firstLine="480" w:firstLineChars="200"/>
              <w:contextualSpacing/>
            </w:pPr>
            <w:r>
              <w:rPr>
                <w:rFonts w:hint="eastAsia"/>
              </w:rPr>
              <w:t>根据工程可研设计，本次管网工程不涉及征用土地，共借用土地18亩，主要作为管道施工时的临时材料及机械设备堆放、临时环保设施占地，土地已通过村镇协调解决，占用土地类型主要为乡村道路、村民农用地、农村集体用地等，均为临时占地，不会改变原有土地利用的功能，且不涉及村村民及原有建筑的拆迁，施工结束后产生的影响也随之结束。</w:t>
            </w:r>
          </w:p>
          <w:p>
            <w:pPr>
              <w:adjustRightInd w:val="0"/>
              <w:snapToGrid w:val="0"/>
              <w:spacing w:line="360" w:lineRule="auto"/>
              <w:ind w:firstLine="480" w:firstLineChars="200"/>
            </w:pPr>
            <w:r>
              <w:rPr>
                <w:rFonts w:hint="eastAsia"/>
              </w:rPr>
              <w:t>②对动、植物的影响</w:t>
            </w:r>
          </w:p>
          <w:p>
            <w:pPr>
              <w:autoSpaceDE w:val="0"/>
              <w:autoSpaceDN w:val="0"/>
              <w:adjustRightInd w:val="0"/>
              <w:snapToGrid w:val="0"/>
              <w:spacing w:line="360" w:lineRule="auto"/>
              <w:ind w:firstLine="480" w:firstLineChars="200"/>
              <w:contextualSpacing/>
            </w:pPr>
            <w:r>
              <w:rPr>
                <w:rFonts w:hint="eastAsia"/>
              </w:rPr>
              <w:t>项目大部分管网布设均位于村庄内，受人为活动影响较大，原生植被分布较小，大多为人工耕作地和稀疏灌木丛类，也不存在</w:t>
            </w:r>
            <w:r>
              <w:rPr>
                <w:rFonts w:hint="eastAsia"/>
                <w:bCs/>
                <w:szCs w:val="24"/>
              </w:rPr>
              <w:t>野生保护动物，大多为当地常见的鼠类等小型动物，且</w:t>
            </w:r>
            <w:r>
              <w:rPr>
                <w:rFonts w:hint="eastAsia"/>
              </w:rPr>
              <w:t>施工结束后产生的影响也随之结束。</w:t>
            </w:r>
          </w:p>
          <w:p>
            <w:pPr>
              <w:adjustRightInd w:val="0"/>
              <w:snapToGrid w:val="0"/>
              <w:spacing w:line="360" w:lineRule="auto"/>
              <w:ind w:firstLine="482" w:firstLineChars="200"/>
              <w:rPr>
                <w:b/>
                <w:bCs/>
              </w:rPr>
            </w:pPr>
            <w:r>
              <w:rPr>
                <w:rFonts w:hint="eastAsia"/>
                <w:b/>
                <w:bCs/>
              </w:rPr>
              <w:t>（6）水土流失的影响</w:t>
            </w:r>
          </w:p>
          <w:p>
            <w:pPr>
              <w:adjustRightInd w:val="0"/>
              <w:snapToGrid w:val="0"/>
              <w:spacing w:line="360" w:lineRule="auto"/>
              <w:ind w:firstLine="480" w:firstLineChars="200"/>
              <w:rPr>
                <w:bCs/>
              </w:rPr>
            </w:pPr>
            <w:r>
              <w:rPr>
                <w:rFonts w:hint="eastAsia"/>
                <w:bCs/>
              </w:rPr>
              <w:t>项目在管沟开挖过程中将有大量的土石方产生，开挖的土石方若不及时处理，随意堆置，暴雨时会被冲至项目周边道路，造成道路泥沙淤积，在雨天则会造成浑水浊流、道路泥泞，在晴天则会发生尘土飞扬、遮天蔽日的现象，影响道路环境，严重时造成街道路面积水，行人及行车不便，严重损害环境美好形象。</w:t>
            </w:r>
          </w:p>
          <w:p>
            <w:pPr>
              <w:numPr>
                <w:ilvl w:val="0"/>
                <w:numId w:val="7"/>
              </w:numPr>
              <w:adjustRightInd w:val="0"/>
              <w:snapToGrid w:val="0"/>
              <w:spacing w:line="360" w:lineRule="auto"/>
              <w:rPr>
                <w:b/>
                <w:sz w:val="28"/>
                <w:szCs w:val="28"/>
              </w:rPr>
            </w:pPr>
            <w:r>
              <w:rPr>
                <w:b/>
                <w:sz w:val="28"/>
                <w:szCs w:val="28"/>
              </w:rPr>
              <w:t>运营期</w:t>
            </w:r>
          </w:p>
          <w:p>
            <w:pPr>
              <w:tabs>
                <w:tab w:val="left" w:pos="3100"/>
              </w:tabs>
              <w:adjustRightInd w:val="0"/>
              <w:snapToGrid w:val="0"/>
              <w:spacing w:line="360" w:lineRule="auto"/>
              <w:ind w:firstLine="562" w:firstLineChars="200"/>
              <w:rPr>
                <w:b/>
                <w:bCs/>
                <w:sz w:val="28"/>
                <w:szCs w:val="21"/>
              </w:rPr>
            </w:pPr>
            <w:r>
              <w:rPr>
                <w:rFonts w:hint="eastAsia"/>
                <w:b/>
                <w:bCs/>
                <w:sz w:val="28"/>
                <w:szCs w:val="21"/>
              </w:rPr>
              <w:t>2、主要工艺流程及产污环节</w:t>
            </w:r>
          </w:p>
          <w:p>
            <w:pPr>
              <w:tabs>
                <w:tab w:val="left" w:pos="3100"/>
              </w:tabs>
              <w:adjustRightInd w:val="0"/>
              <w:snapToGrid w:val="0"/>
              <w:spacing w:line="360" w:lineRule="auto"/>
              <w:ind w:firstLine="480" w:firstLineChars="200"/>
            </w:pPr>
            <w:r>
              <w:rPr>
                <w:rFonts w:hint="eastAsia"/>
              </w:rPr>
              <w:t>本项目共涉及三座污水处理厂施工，其中：邓川污水处理厂和右所污水处理厂为改造、牛街污水厂为新建。</w:t>
            </w:r>
          </w:p>
          <w:p>
            <w:pPr>
              <w:tabs>
                <w:tab w:val="left" w:pos="3100"/>
              </w:tabs>
              <w:adjustRightInd w:val="0"/>
              <w:snapToGrid w:val="0"/>
              <w:spacing w:line="360" w:lineRule="auto"/>
              <w:ind w:firstLine="482" w:firstLineChars="200"/>
              <w:rPr>
                <w:b/>
                <w:bCs/>
              </w:rPr>
            </w:pPr>
            <w:r>
              <w:rPr>
                <w:rFonts w:hint="eastAsia"/>
                <w:b/>
                <w:bCs/>
              </w:rPr>
              <w:t>（1）邓川污水处理厂</w:t>
            </w:r>
          </w:p>
          <w:p>
            <w:pPr>
              <w:adjustRightInd w:val="0"/>
              <w:snapToGrid w:val="0"/>
              <w:spacing w:line="360" w:lineRule="auto"/>
              <w:ind w:firstLine="480" w:firstLineChars="200"/>
              <w:rPr>
                <w:bCs/>
                <w:szCs w:val="24"/>
              </w:rPr>
            </w:pPr>
            <w:r>
              <w:rPr>
                <w:szCs w:val="28"/>
              </w:rPr>
              <w:t>本工程邓川污水处理厂改造采用</w:t>
            </w:r>
            <w:r>
              <w:rPr>
                <w:rFonts w:hint="eastAsia"/>
                <w:szCs w:val="28"/>
              </w:rPr>
              <w:t>CWT一体化设备，主要工艺为</w:t>
            </w:r>
            <w:r>
              <w:rPr>
                <w:szCs w:val="28"/>
              </w:rPr>
              <w:t>“AO+MBR”</w:t>
            </w:r>
            <w:r>
              <w:rPr>
                <w:rFonts w:hint="eastAsia"/>
                <w:szCs w:val="28"/>
              </w:rPr>
              <w:t>，</w:t>
            </w:r>
            <w:r>
              <w:rPr>
                <w:rFonts w:hint="eastAsia"/>
                <w:bCs/>
                <w:szCs w:val="24"/>
              </w:rPr>
              <w:t>主要将原有厌氧池、氧化沟及二沉池废弃作为事故备用水池。进水主要为生活污水经原有预处理处理后，进入调节池，通过提升泵进入CWT一体化设备内处理后，排放人工湿地。处理系统产生的污泥经过污泥浓缩后进入储泥池，再进入污泥脱水机脱水处理外运。具体工艺流程及产污环节如下图所示：</w:t>
            </w:r>
          </w:p>
          <w:p>
            <w:pPr>
              <w:pStyle w:val="2"/>
              <w:adjustRightInd w:val="0"/>
              <w:snapToGrid w:val="0"/>
              <w:spacing w:line="360" w:lineRule="auto"/>
              <w:rPr>
                <w:b/>
                <w:bCs/>
                <w:sz w:val="21"/>
              </w:rPr>
            </w:pPr>
            <w:r>
              <w:drawing>
                <wp:inline distT="0" distB="0" distL="0" distR="0">
                  <wp:extent cx="5619750" cy="1543050"/>
                  <wp:effectExtent l="19050" t="0" r="0" b="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noChangeArrowheads="1"/>
                          </pic:cNvPicPr>
                        </pic:nvPicPr>
                        <pic:blipFill>
                          <a:blip r:embed="rId19" cstate="print"/>
                          <a:srcRect/>
                          <a:stretch>
                            <a:fillRect/>
                          </a:stretch>
                        </pic:blipFill>
                        <pic:spPr>
                          <a:xfrm>
                            <a:off x="0" y="0"/>
                            <a:ext cx="5619750" cy="1543050"/>
                          </a:xfrm>
                          <a:prstGeom prst="rect">
                            <a:avLst/>
                          </a:prstGeom>
                          <a:noFill/>
                          <a:ln w="9525">
                            <a:noFill/>
                            <a:miter lim="800000"/>
                            <a:headEnd/>
                            <a:tailEnd/>
                          </a:ln>
                        </pic:spPr>
                      </pic:pic>
                    </a:graphicData>
                  </a:graphic>
                </wp:inline>
              </w:drawing>
            </w:r>
          </w:p>
          <w:p>
            <w:pPr>
              <w:pStyle w:val="2"/>
              <w:adjustRightInd w:val="0"/>
              <w:snapToGrid w:val="0"/>
              <w:spacing w:line="360" w:lineRule="auto"/>
              <w:rPr>
                <w:b/>
                <w:bCs/>
                <w:sz w:val="21"/>
              </w:rPr>
            </w:pPr>
            <w:r>
              <w:rPr>
                <w:b/>
                <w:bCs/>
                <w:sz w:val="21"/>
              </w:rPr>
              <w:t>图5-</w:t>
            </w:r>
            <w:r>
              <w:rPr>
                <w:rFonts w:hint="eastAsia"/>
                <w:b/>
                <w:bCs/>
                <w:sz w:val="21"/>
              </w:rPr>
              <w:t>5</w:t>
            </w:r>
            <w:r>
              <w:rPr>
                <w:b/>
                <w:bCs/>
                <w:sz w:val="21"/>
              </w:rPr>
              <w:t xml:space="preserve"> 邓川污水处理厂改造</w:t>
            </w:r>
            <w:r>
              <w:rPr>
                <w:rFonts w:hint="eastAsia"/>
                <w:b/>
                <w:bCs/>
                <w:sz w:val="21"/>
              </w:rPr>
              <w:t>后的</w:t>
            </w:r>
            <w:r>
              <w:rPr>
                <w:b/>
                <w:bCs/>
                <w:sz w:val="21"/>
              </w:rPr>
              <w:t>工艺流程</w:t>
            </w:r>
            <w:r>
              <w:rPr>
                <w:rFonts w:hint="eastAsia"/>
                <w:b/>
                <w:bCs/>
                <w:sz w:val="21"/>
              </w:rPr>
              <w:t>及产污环节</w:t>
            </w:r>
            <w:r>
              <w:rPr>
                <w:b/>
                <w:bCs/>
                <w:sz w:val="21"/>
              </w:rPr>
              <w:t>图</w:t>
            </w:r>
          </w:p>
          <w:p>
            <w:pPr>
              <w:tabs>
                <w:tab w:val="left" w:pos="3100"/>
              </w:tabs>
              <w:adjustRightInd w:val="0"/>
              <w:snapToGrid w:val="0"/>
              <w:spacing w:beforeLines="50" w:line="360" w:lineRule="auto"/>
              <w:ind w:firstLine="482" w:firstLineChars="200"/>
              <w:rPr>
                <w:b/>
                <w:bCs/>
              </w:rPr>
            </w:pPr>
            <w:r>
              <w:rPr>
                <w:rFonts w:hint="eastAsia"/>
                <w:b/>
                <w:bCs/>
              </w:rPr>
              <w:t>（2）右所污水处理厂</w:t>
            </w:r>
          </w:p>
          <w:p>
            <w:pPr>
              <w:adjustRightInd w:val="0"/>
              <w:snapToGrid w:val="0"/>
              <w:spacing w:line="360" w:lineRule="auto"/>
              <w:ind w:firstLine="480" w:firstLineChars="200"/>
              <w:rPr>
                <w:bCs/>
                <w:szCs w:val="24"/>
              </w:rPr>
            </w:pPr>
            <w:r>
              <w:rPr>
                <w:szCs w:val="28"/>
              </w:rPr>
              <w:t>本工程</w:t>
            </w:r>
            <w:r>
              <w:rPr>
                <w:rFonts w:hint="eastAsia"/>
                <w:szCs w:val="28"/>
              </w:rPr>
              <w:t>右所</w:t>
            </w:r>
            <w:r>
              <w:rPr>
                <w:szCs w:val="28"/>
              </w:rPr>
              <w:t>污水处理厂改造采用</w:t>
            </w:r>
            <w:r>
              <w:rPr>
                <w:rFonts w:hint="eastAsia"/>
                <w:szCs w:val="28"/>
              </w:rPr>
              <w:t>CWT一体化设备，主要工艺为</w:t>
            </w:r>
            <w:r>
              <w:rPr>
                <w:szCs w:val="28"/>
              </w:rPr>
              <w:t>“AO+MBR”</w:t>
            </w:r>
            <w:r>
              <w:rPr>
                <w:rFonts w:hint="eastAsia"/>
                <w:szCs w:val="28"/>
              </w:rPr>
              <w:t>，</w:t>
            </w:r>
            <w:r>
              <w:rPr>
                <w:rFonts w:hint="eastAsia"/>
                <w:bCs/>
                <w:szCs w:val="24"/>
              </w:rPr>
              <w:t>主要将原有</w:t>
            </w:r>
            <w:r>
              <w:rPr>
                <w:rFonts w:hint="eastAsia" w:ascii="宋体" w:hAnsi="宋体" w:cs="宋体"/>
              </w:rPr>
              <w:t>缺氧池和好氧池</w:t>
            </w:r>
            <w:r>
              <w:rPr>
                <w:rFonts w:hint="eastAsia"/>
                <w:bCs/>
                <w:szCs w:val="24"/>
              </w:rPr>
              <w:t>及沉淀池废弃作为事故备用水池。进水主要为生活污水，经原有预处理处理后，进入调节池，通过提升泵进入CWT一体化设备内处理；处理系统产生的污泥经过污泥浓缩后进入改造的储泥池内，再进入污泥脱水机脱水处理后外运。具体工艺流程及产污环节如下图所示：</w:t>
            </w:r>
          </w:p>
          <w:p>
            <w:pPr>
              <w:pStyle w:val="2"/>
              <w:adjustRightInd w:val="0"/>
              <w:snapToGrid w:val="0"/>
              <w:spacing w:line="360" w:lineRule="auto"/>
            </w:pPr>
            <w:r>
              <w:drawing>
                <wp:inline distT="0" distB="0" distL="0" distR="0">
                  <wp:extent cx="5610225" cy="1714500"/>
                  <wp:effectExtent l="19050" t="0" r="9525"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noChangeArrowheads="1"/>
                          </pic:cNvPicPr>
                        </pic:nvPicPr>
                        <pic:blipFill>
                          <a:blip r:embed="rId20" cstate="print"/>
                          <a:srcRect/>
                          <a:stretch>
                            <a:fillRect/>
                          </a:stretch>
                        </pic:blipFill>
                        <pic:spPr>
                          <a:xfrm>
                            <a:off x="0" y="0"/>
                            <a:ext cx="5610225" cy="1714500"/>
                          </a:xfrm>
                          <a:prstGeom prst="rect">
                            <a:avLst/>
                          </a:prstGeom>
                          <a:noFill/>
                          <a:ln w="9525">
                            <a:noFill/>
                            <a:miter lim="800000"/>
                            <a:headEnd/>
                            <a:tailEnd/>
                          </a:ln>
                        </pic:spPr>
                      </pic:pic>
                    </a:graphicData>
                  </a:graphic>
                </wp:inline>
              </w:drawing>
            </w:r>
          </w:p>
          <w:p>
            <w:pPr>
              <w:pStyle w:val="2"/>
              <w:adjustRightInd w:val="0"/>
              <w:snapToGrid w:val="0"/>
              <w:spacing w:line="360" w:lineRule="auto"/>
              <w:rPr>
                <w:b/>
                <w:bCs/>
                <w:sz w:val="21"/>
              </w:rPr>
            </w:pPr>
            <w:r>
              <w:rPr>
                <w:b/>
                <w:bCs/>
                <w:sz w:val="21"/>
              </w:rPr>
              <w:t>图5-</w:t>
            </w:r>
            <w:r>
              <w:rPr>
                <w:rFonts w:hint="eastAsia"/>
                <w:b/>
                <w:bCs/>
                <w:sz w:val="21"/>
              </w:rPr>
              <w:t>6 右所</w:t>
            </w:r>
            <w:r>
              <w:rPr>
                <w:b/>
                <w:bCs/>
                <w:sz w:val="21"/>
              </w:rPr>
              <w:t>污水处理厂改造</w:t>
            </w:r>
            <w:r>
              <w:rPr>
                <w:rFonts w:hint="eastAsia"/>
                <w:b/>
                <w:bCs/>
                <w:sz w:val="21"/>
              </w:rPr>
              <w:t>后的</w:t>
            </w:r>
            <w:r>
              <w:rPr>
                <w:b/>
                <w:bCs/>
                <w:sz w:val="21"/>
              </w:rPr>
              <w:t>工艺流程</w:t>
            </w:r>
            <w:r>
              <w:rPr>
                <w:rFonts w:hint="eastAsia"/>
                <w:b/>
                <w:bCs/>
                <w:sz w:val="21"/>
              </w:rPr>
              <w:t>及产污环节</w:t>
            </w:r>
            <w:r>
              <w:rPr>
                <w:b/>
                <w:bCs/>
                <w:sz w:val="21"/>
              </w:rPr>
              <w:t>图</w:t>
            </w:r>
          </w:p>
          <w:p>
            <w:pPr>
              <w:tabs>
                <w:tab w:val="left" w:pos="3100"/>
              </w:tabs>
              <w:adjustRightInd w:val="0"/>
              <w:snapToGrid w:val="0"/>
              <w:spacing w:line="360" w:lineRule="auto"/>
              <w:ind w:firstLine="482" w:firstLineChars="200"/>
              <w:rPr>
                <w:b/>
                <w:bCs/>
              </w:rPr>
            </w:pPr>
            <w:r>
              <w:rPr>
                <w:rFonts w:hint="eastAsia"/>
                <w:b/>
                <w:bCs/>
              </w:rPr>
              <w:t>工艺流程简述：</w:t>
            </w:r>
          </w:p>
          <w:p>
            <w:pPr>
              <w:pStyle w:val="2"/>
              <w:adjustRightInd w:val="0"/>
              <w:snapToGrid w:val="0"/>
              <w:spacing w:line="360" w:lineRule="auto"/>
              <w:ind w:firstLine="482" w:firstLineChars="200"/>
              <w:jc w:val="both"/>
              <w:rPr>
                <w:szCs w:val="28"/>
              </w:rPr>
            </w:pPr>
            <w:r>
              <w:rPr>
                <w:rFonts w:hint="eastAsia"/>
                <w:b/>
                <w:bCs/>
                <w:szCs w:val="28"/>
              </w:rPr>
              <w:t>CWT一体化设备：</w:t>
            </w:r>
            <w:r>
              <w:rPr>
                <w:rFonts w:hint="eastAsia"/>
                <w:szCs w:val="28"/>
              </w:rPr>
              <w:t>智能一体化污水净化系统（Compact Wastewater Treatment System，简称CWT），是北京碧水源自主创新开发的集成式高效点源污水处理设备。产品融合了国家科学技术进步二等奖“膜集成污水深度净化技术”与“低能耗MBR污水资源化新技术”，高度集成，具有模块化、智能化、运输便利、安装快捷、高效节能、无需专人值守等特点，适用于各种中小规模的分散性生活污水和与之类似的工业有机废水处理，如农村生活污水、公共厕所、独立别墅、旅游景点、河道截污以及应急废水处理等。该技术广泛应用于北京、浙江、江苏、安徽、云南、内蒙等地区，目前应用万余套，在我国分散点源污染治理中发挥着重要作用，是理想的分散式污水处理设备。</w:t>
            </w:r>
          </w:p>
          <w:p>
            <w:pPr>
              <w:tabs>
                <w:tab w:val="left" w:pos="3100"/>
              </w:tabs>
              <w:adjustRightInd w:val="0"/>
              <w:snapToGrid w:val="0"/>
              <w:spacing w:line="360" w:lineRule="auto"/>
              <w:ind w:firstLine="480" w:firstLineChars="200"/>
              <w:rPr>
                <w:szCs w:val="28"/>
              </w:rPr>
            </w:pPr>
            <w:r>
              <w:rPr>
                <w:rFonts w:hint="eastAsia"/>
                <w:szCs w:val="28"/>
              </w:rPr>
              <w:t>CWT 的技术核心是膜组件与生化反应器的结合，</w:t>
            </w:r>
            <w:r>
              <w:rPr>
                <w:rFonts w:hint="eastAsia"/>
              </w:rPr>
              <w:t>将一体式MBR膜组件浸没于生物反应器内，通过泵抽吸得到过滤液，</w:t>
            </w:r>
            <w:r>
              <w:rPr>
                <w:rFonts w:hint="eastAsia"/>
                <w:szCs w:val="28"/>
              </w:rPr>
              <w:t>其污水净化系统由缺氧区、好氧和膜区组成。</w:t>
            </w:r>
          </w:p>
          <w:p>
            <w:pPr>
              <w:tabs>
                <w:tab w:val="left" w:pos="3100"/>
              </w:tabs>
              <w:adjustRightInd w:val="0"/>
              <w:snapToGrid w:val="0"/>
              <w:spacing w:line="360" w:lineRule="auto"/>
              <w:ind w:firstLine="480" w:firstLineChars="200"/>
              <w:rPr>
                <w:szCs w:val="28"/>
              </w:rPr>
            </w:pPr>
            <w:r>
              <w:rPr>
                <w:rFonts w:hint="eastAsia"/>
                <w:szCs w:val="28"/>
              </w:rPr>
              <w:t>进水主要为生活污水（化粪池/隔油池处理后水），通过截污管道进入预处理单元。本规模预处理单元由进水井（含粗格网）、预沉区、提篮格栅、调节池组成，污水先由粗格网去除污水中体积较大的杂物和漂浮物后，出水进入预沉区进行沉淀沉砂，再经由提篮格栅去除水中毛发、漂浮物等后自流进入调节池。调节池可对水质水量进行调节，去除污水中的悬浮颗粒，保证生化系统的连续运行。之后再由提升泵提升CWT 一体化设备进行生化处理和氮的去除，抽吸泵自膜池抽吸出水，经过加药消毒，达标后排放。膜处理单元的回流污泥通过污泥回流泵回流到生化区，剩</w:t>
            </w:r>
            <w:r>
              <w:rPr>
                <w:szCs w:val="28"/>
              </w:rPr>
              <w:t>余污泥通过污泥回流泵定期排出。</w:t>
            </w:r>
          </w:p>
          <w:p>
            <w:pPr>
              <w:adjustRightInd w:val="0"/>
              <w:snapToGrid w:val="0"/>
              <w:spacing w:line="360" w:lineRule="auto"/>
              <w:ind w:firstLine="480" w:firstLineChars="200"/>
              <w:rPr>
                <w:szCs w:val="24"/>
              </w:rPr>
            </w:pPr>
            <w:r>
              <w:t>CWT-A采用模块化设计，由四个基本模块单元组合而成，根据污水净化要求和现场的实际情况，其基本模块单元可任意</w:t>
            </w:r>
            <w:r>
              <w:rPr>
                <w:bCs/>
              </w:rPr>
              <w:t>（</w:t>
            </w:r>
            <w:r>
              <w:rPr>
                <w:bCs/>
              </w:rPr>
              <w:fldChar w:fldCharType="begin"/>
            </w:r>
            <w:r>
              <w:rPr>
                <w:bCs/>
              </w:rPr>
              <w:instrText xml:space="preserve">= 4 \* GB3</w:instrText>
            </w:r>
            <w:r>
              <w:rPr>
                <w:bCs/>
              </w:rPr>
              <w:fldChar w:fldCharType="separate"/>
            </w:r>
            <w:r>
              <w:rPr>
                <w:bCs/>
              </w:rPr>
              <w:t>④</w:t>
            </w:r>
            <w:r>
              <w:rPr>
                <w:bCs/>
              </w:rPr>
              <w:fldChar w:fldCharType="end"/>
            </w:r>
            <w:r>
              <w:rPr>
                <w:bCs/>
              </w:rPr>
              <w:t>为可选）组合，</w:t>
            </w:r>
            <w:r>
              <w:t>如下图所示：</w:t>
            </w:r>
          </w:p>
          <w:p>
            <w:pPr>
              <w:tabs>
                <w:tab w:val="left" w:pos="3100"/>
              </w:tabs>
              <w:adjustRightInd w:val="0"/>
              <w:snapToGrid w:val="0"/>
              <w:spacing w:line="360" w:lineRule="auto"/>
              <w:ind w:firstLine="480" w:firstLineChars="200"/>
              <w:rPr>
                <w:szCs w:val="28"/>
              </w:rPr>
            </w:pPr>
            <w:r>
              <w:rPr>
                <w:rFonts w:hint="eastAsia"/>
                <w:szCs w:val="24"/>
              </w:rPr>
              <w:t xml:space="preserve">             </w:t>
            </w:r>
            <w:r>
              <w:rPr>
                <w:szCs w:val="24"/>
              </w:rPr>
              <w:drawing>
                <wp:inline distT="0" distB="0" distL="0" distR="0">
                  <wp:extent cx="2990850" cy="2133600"/>
                  <wp:effectExtent l="19050" t="0" r="0" b="0"/>
                  <wp:docPr id="9" name="图片 18" descr="C:\Users\A\AppData\Roaming\Tencent\Users\153935415\QQ\WinTemp\RichOle\O)DSJ41N9L`J~$9V2`AP8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C:\Users\A\AppData\Roaming\Tencent\Users\153935415\QQ\WinTemp\RichOle\O)DSJ41N9L`J~$9V2`AP8TG.png"/>
                          <pic:cNvPicPr>
                            <a:picLocks noChangeAspect="1" noChangeArrowheads="1"/>
                          </pic:cNvPicPr>
                        </pic:nvPicPr>
                        <pic:blipFill>
                          <a:blip r:embed="rId21" cstate="print"/>
                          <a:srcRect/>
                          <a:stretch>
                            <a:fillRect/>
                          </a:stretch>
                        </pic:blipFill>
                        <pic:spPr>
                          <a:xfrm>
                            <a:off x="0" y="0"/>
                            <a:ext cx="2990850" cy="213360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bCs/>
                <w:szCs w:val="24"/>
              </w:rPr>
            </w:pPr>
            <w:r>
              <w:rPr>
                <w:rFonts w:hint="eastAsia"/>
                <w:bCs/>
                <w:szCs w:val="24"/>
              </w:rPr>
              <w:t xml:space="preserve"> A、缺氧单元</w:t>
            </w:r>
          </w:p>
          <w:p>
            <w:pPr>
              <w:adjustRightInd w:val="0"/>
              <w:snapToGrid w:val="0"/>
              <w:spacing w:line="360" w:lineRule="auto"/>
              <w:ind w:firstLine="480" w:firstLineChars="200"/>
              <w:rPr>
                <w:bCs/>
                <w:szCs w:val="24"/>
              </w:rPr>
            </w:pPr>
            <w:r>
              <w:rPr>
                <w:rFonts w:hint="eastAsia"/>
                <w:bCs/>
                <w:szCs w:val="24"/>
              </w:rPr>
              <w:t>硝态氮在反硝化细菌的作用下发生反硝化反应，生成氮气释放到大气中，完成脱氮。为充分利用水中的碳源，将缺氧池置于好氧池之前，同时将好氧池的出水硝化液回流到前端的缺氧池进行反硝化，即内回流。</w:t>
            </w:r>
          </w:p>
          <w:p>
            <w:pPr>
              <w:adjustRightInd w:val="0"/>
              <w:snapToGrid w:val="0"/>
              <w:spacing w:line="360" w:lineRule="auto"/>
              <w:ind w:firstLine="480" w:firstLineChars="200"/>
              <w:rPr>
                <w:bCs/>
                <w:szCs w:val="24"/>
              </w:rPr>
            </w:pPr>
            <w:r>
              <w:rPr>
                <w:rFonts w:hint="eastAsia"/>
                <w:bCs/>
                <w:szCs w:val="24"/>
              </w:rPr>
              <w:t>B、好氧+膜池单元</w:t>
            </w:r>
          </w:p>
          <w:p>
            <w:pPr>
              <w:adjustRightInd w:val="0"/>
              <w:snapToGrid w:val="0"/>
              <w:spacing w:line="360" w:lineRule="auto"/>
              <w:ind w:firstLine="480" w:firstLineChars="200"/>
              <w:rPr>
                <w:bCs/>
                <w:szCs w:val="24"/>
              </w:rPr>
            </w:pPr>
            <w:r>
              <w:rPr>
                <w:rFonts w:hint="eastAsia"/>
                <w:bCs/>
                <w:szCs w:val="24"/>
              </w:rPr>
              <w:t>由微生物组成的活性污泥与污水中有机污染物物质充分混合接触，进而降解吸收并分解污染物。在好氧池中好氧菌是以水中溶解氧为电子受体，以碳源为电子供体进行有氧呼吸，最终产物以二氧化碳和水为主。氨氮在有氧的环境中，在亚硝酸菌和硝酸菌的作用下发生硝化反应，转化态氮。</w:t>
            </w:r>
          </w:p>
          <w:p>
            <w:pPr>
              <w:adjustRightInd w:val="0"/>
              <w:snapToGrid w:val="0"/>
              <w:spacing w:line="360" w:lineRule="auto"/>
              <w:ind w:firstLine="480" w:firstLineChars="200"/>
              <w:rPr>
                <w:bCs/>
                <w:szCs w:val="24"/>
              </w:rPr>
            </w:pPr>
            <w:r>
              <w:rPr>
                <w:rFonts w:hint="eastAsia"/>
                <w:bCs/>
                <w:szCs w:val="24"/>
              </w:rPr>
              <w:t>安装中空纤维膜组器，在自吸泵的抽吸作用下，清水透过膜丝表面的微孔，进入水泵内，清水外排。为防止膜丝表面积累污泥，膜组器底部有曝气槽，风机通过曝气槽向膜组器曝气，对膜丝进行冲刷，保持膜丝表面清洁。</w:t>
            </w:r>
          </w:p>
          <w:p>
            <w:pPr>
              <w:adjustRightInd w:val="0"/>
              <w:snapToGrid w:val="0"/>
              <w:spacing w:line="360" w:lineRule="auto"/>
              <w:ind w:firstLine="480" w:firstLineChars="200"/>
              <w:rPr>
                <w:bCs/>
                <w:szCs w:val="24"/>
              </w:rPr>
            </w:pPr>
            <w:r>
              <w:rPr>
                <w:rFonts w:hint="eastAsia"/>
                <w:bCs/>
                <w:szCs w:val="24"/>
              </w:rPr>
              <w:t>C、控制和设备单元</w:t>
            </w:r>
          </w:p>
          <w:p>
            <w:pPr>
              <w:adjustRightInd w:val="0"/>
              <w:snapToGrid w:val="0"/>
              <w:spacing w:line="360" w:lineRule="auto"/>
              <w:ind w:firstLine="480" w:firstLineChars="200"/>
              <w:rPr>
                <w:bCs/>
                <w:szCs w:val="24"/>
              </w:rPr>
            </w:pPr>
            <w:r>
              <w:rPr>
                <w:rFonts w:hint="eastAsia"/>
                <w:bCs/>
                <w:szCs w:val="24"/>
              </w:rPr>
              <w:t>CWT一体化设备除含主生化、膜滤单元外，还高度集成了：调节池提升泵、消毒系统、加药除磷系统、膜清洗系统，出水流量计量、PLC控制系统等。</w:t>
            </w:r>
          </w:p>
          <w:p>
            <w:pPr>
              <w:adjustRightInd w:val="0"/>
              <w:snapToGrid w:val="0"/>
              <w:spacing w:line="360" w:lineRule="auto"/>
              <w:ind w:firstLine="480" w:firstLineChars="200"/>
              <w:rPr>
                <w:bCs/>
                <w:szCs w:val="24"/>
              </w:rPr>
            </w:pPr>
            <w:r>
              <w:rPr>
                <w:rFonts w:hint="eastAsia"/>
                <w:bCs/>
                <w:szCs w:val="24"/>
              </w:rPr>
              <w:t>处理能力为500m</w:t>
            </w:r>
            <w:r>
              <w:rPr>
                <w:rFonts w:hint="eastAsia"/>
                <w:bCs/>
                <w:szCs w:val="24"/>
                <w:vertAlign w:val="superscript"/>
              </w:rPr>
              <w:t>3</w:t>
            </w:r>
            <w:r>
              <w:rPr>
                <w:rFonts w:hint="eastAsia"/>
                <w:bCs/>
                <w:szCs w:val="24"/>
              </w:rPr>
              <w:t>/d的CWT一体化处理设备由2套钢箱组成，每套设备钢箱尺寸14.0×2.5×3.0m，2套钢箱并联形成缺氧区、好氧区、膜区和设备区。500 m</w:t>
            </w:r>
            <w:r>
              <w:rPr>
                <w:rFonts w:hint="eastAsia"/>
                <w:bCs/>
                <w:szCs w:val="24"/>
                <w:vertAlign w:val="superscript"/>
              </w:rPr>
              <w:t>3</w:t>
            </w:r>
            <w:r>
              <w:rPr>
                <w:rFonts w:hint="eastAsia"/>
                <w:bCs/>
                <w:szCs w:val="24"/>
              </w:rPr>
              <w:t>/d CWT一体化处理设备的装机功率为15.612kw。</w:t>
            </w:r>
          </w:p>
          <w:p>
            <w:pPr>
              <w:tabs>
                <w:tab w:val="left" w:pos="3100"/>
              </w:tabs>
              <w:adjustRightInd w:val="0"/>
              <w:snapToGrid w:val="0"/>
              <w:spacing w:line="360" w:lineRule="auto"/>
              <w:ind w:firstLine="482" w:firstLineChars="200"/>
              <w:rPr>
                <w:b/>
                <w:bCs/>
              </w:rPr>
            </w:pPr>
            <w:r>
              <w:rPr>
                <w:rFonts w:hint="eastAsia"/>
                <w:b/>
                <w:bCs/>
              </w:rPr>
              <w:t>（3）牛街污水处理厂</w:t>
            </w:r>
          </w:p>
          <w:p>
            <w:pPr>
              <w:adjustRightInd w:val="0"/>
              <w:snapToGrid w:val="0"/>
              <w:spacing w:line="360" w:lineRule="auto"/>
              <w:ind w:firstLine="480" w:firstLineChars="200"/>
              <w:rPr>
                <w:bCs/>
                <w:szCs w:val="24"/>
              </w:rPr>
            </w:pPr>
            <w:r>
              <w:rPr>
                <w:szCs w:val="28"/>
              </w:rPr>
              <w:t>本工程</w:t>
            </w:r>
            <w:r>
              <w:rPr>
                <w:rFonts w:hint="eastAsia"/>
                <w:szCs w:val="28"/>
              </w:rPr>
              <w:t>牛街</w:t>
            </w:r>
            <w:r>
              <w:rPr>
                <w:szCs w:val="28"/>
              </w:rPr>
              <w:t>污水处理厂</w:t>
            </w:r>
            <w:r>
              <w:rPr>
                <w:rFonts w:hint="eastAsia"/>
                <w:szCs w:val="28"/>
              </w:rPr>
              <w:t>新建处理规模为1000m</w:t>
            </w:r>
            <w:r>
              <w:rPr>
                <w:rFonts w:hint="eastAsia"/>
                <w:szCs w:val="28"/>
                <w:vertAlign w:val="superscript"/>
              </w:rPr>
              <w:t>3</w:t>
            </w:r>
            <w:r>
              <w:rPr>
                <w:rFonts w:hint="eastAsia"/>
                <w:szCs w:val="28"/>
              </w:rPr>
              <w:t>/d，处理工艺为</w:t>
            </w:r>
            <w:r>
              <w:rPr>
                <w:szCs w:val="28"/>
              </w:rPr>
              <w:t>“A</w:t>
            </w:r>
            <w:r>
              <w:rPr>
                <w:rFonts w:hint="eastAsia"/>
                <w:szCs w:val="28"/>
                <w:vertAlign w:val="superscript"/>
              </w:rPr>
              <w:t>2</w:t>
            </w:r>
            <w:r>
              <w:rPr>
                <w:szCs w:val="28"/>
              </w:rPr>
              <w:t>O+MBR”</w:t>
            </w:r>
            <w:r>
              <w:rPr>
                <w:rFonts w:hint="eastAsia"/>
                <w:szCs w:val="28"/>
              </w:rPr>
              <w:t>，建设内容主要包括：综合处理池包括预处理系统（进水井、格栅渠、沉砂池及提升泵池、调节池）、生化综合池（缺氧池、厌氧池、好氧池、膜池）、膜设备间、储泥池和清水池。储泥池内剩余污泥通过排泥泵进入原有污泥脱水机房脱水处理后外运，清水池出水排入附近人工湿地。</w:t>
            </w:r>
            <w:r>
              <w:rPr>
                <w:rFonts w:hint="eastAsia"/>
                <w:bCs/>
                <w:szCs w:val="24"/>
              </w:rPr>
              <w:t>具体工艺流程及产污环节如下图所示：</w:t>
            </w:r>
          </w:p>
          <w:p>
            <w:pPr>
              <w:pStyle w:val="33"/>
              <w:tabs>
                <w:tab w:val="left" w:pos="1110"/>
                <w:tab w:val="left" w:pos="8442"/>
              </w:tabs>
              <w:adjustRightInd w:val="0"/>
              <w:snapToGrid w:val="0"/>
              <w:spacing w:afterLines="50" w:line="360" w:lineRule="auto"/>
              <w:rPr>
                <w:b/>
                <w:bCs/>
                <w:sz w:val="21"/>
              </w:rPr>
            </w:pPr>
            <w:r>
              <w:drawing>
                <wp:inline distT="0" distB="0" distL="0" distR="0">
                  <wp:extent cx="5457825" cy="20288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srcRect/>
                          <a:stretch>
                            <a:fillRect/>
                          </a:stretch>
                        </pic:blipFill>
                        <pic:spPr>
                          <a:xfrm>
                            <a:off x="0" y="0"/>
                            <a:ext cx="5457825" cy="2028825"/>
                          </a:xfrm>
                          <a:prstGeom prst="rect">
                            <a:avLst/>
                          </a:prstGeom>
                          <a:noFill/>
                          <a:ln w="9525">
                            <a:noFill/>
                            <a:miter lim="800000"/>
                            <a:headEnd/>
                            <a:tailEnd/>
                          </a:ln>
                          <a:effectLst/>
                        </pic:spPr>
                      </pic:pic>
                    </a:graphicData>
                  </a:graphic>
                </wp:inline>
              </w:drawing>
            </w:r>
            <w:r>
              <w:rPr>
                <w:b/>
                <w:bCs/>
                <w:sz w:val="21"/>
              </w:rPr>
              <w:t>图5-</w:t>
            </w:r>
            <w:r>
              <w:rPr>
                <w:rFonts w:hint="eastAsia"/>
                <w:b/>
                <w:bCs/>
                <w:sz w:val="21"/>
              </w:rPr>
              <w:t>7 牛街</w:t>
            </w:r>
            <w:r>
              <w:rPr>
                <w:b/>
                <w:bCs/>
                <w:sz w:val="21"/>
              </w:rPr>
              <w:t>污水处理厂</w:t>
            </w:r>
            <w:r>
              <w:rPr>
                <w:rFonts w:hint="eastAsia"/>
                <w:b/>
                <w:bCs/>
                <w:sz w:val="21"/>
              </w:rPr>
              <w:t>新建</w:t>
            </w:r>
            <w:r>
              <w:rPr>
                <w:b/>
                <w:bCs/>
                <w:sz w:val="21"/>
              </w:rPr>
              <w:t>工艺流程</w:t>
            </w:r>
            <w:r>
              <w:rPr>
                <w:rFonts w:hint="eastAsia"/>
                <w:b/>
                <w:bCs/>
                <w:sz w:val="21"/>
              </w:rPr>
              <w:t>及产物环节</w:t>
            </w:r>
            <w:r>
              <w:rPr>
                <w:b/>
                <w:bCs/>
                <w:sz w:val="21"/>
              </w:rPr>
              <w:t>图</w:t>
            </w:r>
          </w:p>
          <w:p>
            <w:pPr>
              <w:adjustRightInd w:val="0"/>
              <w:snapToGrid w:val="0"/>
              <w:spacing w:line="360" w:lineRule="auto"/>
              <w:ind w:firstLine="241" w:firstLineChars="100"/>
              <w:rPr>
                <w:b/>
                <w:bCs/>
                <w:szCs w:val="28"/>
              </w:rPr>
            </w:pPr>
            <w:r>
              <w:rPr>
                <w:rFonts w:hint="eastAsia"/>
                <w:b/>
                <w:bCs/>
                <w:szCs w:val="28"/>
              </w:rPr>
              <w:t>工艺流程简述：</w:t>
            </w:r>
          </w:p>
          <w:p>
            <w:pPr>
              <w:adjustRightInd w:val="0"/>
              <w:snapToGrid w:val="0"/>
              <w:spacing w:line="360" w:lineRule="auto"/>
              <w:ind w:firstLine="480" w:firstLineChars="200"/>
            </w:pPr>
            <w:r>
              <w:rPr>
                <w:rFonts w:hint="eastAsia"/>
                <w:szCs w:val="28"/>
              </w:rPr>
              <w:t>“A</w:t>
            </w:r>
            <w:r>
              <w:rPr>
                <w:rFonts w:hint="eastAsia"/>
                <w:szCs w:val="28"/>
                <w:vertAlign w:val="superscript"/>
              </w:rPr>
              <w:t>2</w:t>
            </w:r>
            <w:r>
              <w:rPr>
                <w:rFonts w:hint="eastAsia"/>
                <w:szCs w:val="28"/>
              </w:rPr>
              <w:t>O+MBR”处理</w:t>
            </w:r>
            <w:r>
              <w:t>工艺是具有良好脱氮除磷功能的A</w:t>
            </w:r>
            <w:r>
              <w:rPr>
                <w:vertAlign w:val="superscript"/>
              </w:rPr>
              <w:t>2</w:t>
            </w:r>
            <w:r>
              <w:t>O活性污泥法工艺和膜分离技术的结合，其工艺原理需要先从生物和分离两个单元分别论述</w:t>
            </w:r>
            <w:r>
              <w:rPr>
                <w:rFonts w:hint="eastAsia"/>
              </w:rPr>
              <w:t>：</w:t>
            </w:r>
          </w:p>
          <w:p>
            <w:pPr>
              <w:adjustRightInd w:val="0"/>
              <w:snapToGrid w:val="0"/>
              <w:spacing w:line="360" w:lineRule="auto"/>
              <w:ind w:firstLine="480" w:firstLineChars="200"/>
              <w:rPr>
                <w:bCs/>
                <w:szCs w:val="24"/>
              </w:rPr>
            </w:pPr>
            <w:r>
              <w:rPr>
                <w:rFonts w:hint="eastAsia"/>
                <w:bCs/>
                <w:szCs w:val="24"/>
              </w:rPr>
              <w:t>A 、生物段：A</w:t>
            </w:r>
            <w:r>
              <w:rPr>
                <w:rFonts w:hint="eastAsia"/>
                <w:bCs/>
                <w:szCs w:val="24"/>
                <w:vertAlign w:val="superscript"/>
              </w:rPr>
              <w:t>2</w:t>
            </w:r>
            <w:r>
              <w:rPr>
                <w:rFonts w:hint="eastAsia"/>
                <w:bCs/>
                <w:szCs w:val="24"/>
              </w:rPr>
              <w:t>O工艺</w:t>
            </w:r>
          </w:p>
          <w:p>
            <w:pPr>
              <w:adjustRightInd w:val="0"/>
              <w:snapToGrid w:val="0"/>
              <w:spacing w:line="360" w:lineRule="auto"/>
              <w:ind w:firstLine="480" w:firstLineChars="200"/>
              <w:rPr>
                <w:bCs/>
                <w:szCs w:val="24"/>
              </w:rPr>
            </w:pPr>
            <w:r>
              <w:rPr>
                <w:rFonts w:hint="eastAsia"/>
                <w:bCs/>
                <w:szCs w:val="24"/>
              </w:rPr>
              <w:t>本方案生物段采用的是A</w:t>
            </w:r>
            <w:r>
              <w:rPr>
                <w:rFonts w:hint="eastAsia"/>
                <w:bCs/>
                <w:szCs w:val="24"/>
                <w:vertAlign w:val="superscript"/>
              </w:rPr>
              <w:t>2</w:t>
            </w:r>
            <w:r>
              <w:rPr>
                <w:rFonts w:hint="eastAsia"/>
                <w:bCs/>
                <w:szCs w:val="24"/>
              </w:rPr>
              <w:t>O工艺，根据生物降解的不同过程和所需要的不同环境将反应池分为厌氧、缺氧和好氧区，有利于对反应过程进行控制。设计要点如下：</w:t>
            </w:r>
          </w:p>
          <w:p>
            <w:pPr>
              <w:adjustRightInd w:val="0"/>
              <w:snapToGrid w:val="0"/>
              <w:spacing w:line="360" w:lineRule="auto"/>
              <w:ind w:firstLine="480" w:firstLineChars="200"/>
              <w:rPr>
                <w:bCs/>
                <w:szCs w:val="24"/>
              </w:rPr>
            </w:pPr>
            <w:r>
              <w:rPr>
                <w:rFonts w:hint="eastAsia"/>
                <w:bCs/>
                <w:szCs w:val="24"/>
              </w:rPr>
              <w:t>①A</w:t>
            </w:r>
            <w:r>
              <w:rPr>
                <w:rFonts w:hint="eastAsia"/>
                <w:bCs/>
                <w:szCs w:val="24"/>
                <w:vertAlign w:val="superscript"/>
              </w:rPr>
              <w:t>2</w:t>
            </w:r>
            <w:r>
              <w:rPr>
                <w:rFonts w:hint="eastAsia"/>
                <w:bCs/>
                <w:szCs w:val="24"/>
              </w:rPr>
              <w:t>O池按照厌氧、缺氧、好氧的顺序设计成整体推流式的反应池，其中厌氧区通过设置潜水搅拌器形成完全混合流态，缺氧区通过设置潜水推流器和导流墙形成循环混合式流态，好氧区则设计成推流式流态，这样可以更好地发挥各区的降解功能。</w:t>
            </w:r>
          </w:p>
          <w:p>
            <w:pPr>
              <w:adjustRightInd w:val="0"/>
              <w:snapToGrid w:val="0"/>
              <w:spacing w:line="360" w:lineRule="auto"/>
              <w:ind w:firstLine="480" w:firstLineChars="200"/>
              <w:rPr>
                <w:bCs/>
                <w:szCs w:val="24"/>
              </w:rPr>
            </w:pPr>
            <w:r>
              <w:rPr>
                <w:rFonts w:hint="eastAsia"/>
                <w:bCs/>
                <w:szCs w:val="24"/>
              </w:rPr>
              <w:t>②反应池内设置了比例不同的两段回流，即把经过好氧区的混合液回流到缺氧区的进水端和把经过缺氧区反硝化后的混合液再回流到厌氧区的进水端，这样做既保证了回流的硝化液在缺氧区进行充分地反硝化脱氮，又避免了回流至厌氧区的混合液中的硝基根干扰磷的厌氧释放过程，降低磷的去除率。</w:t>
            </w:r>
          </w:p>
          <w:p>
            <w:pPr>
              <w:adjustRightInd w:val="0"/>
              <w:snapToGrid w:val="0"/>
              <w:spacing w:line="360" w:lineRule="auto"/>
              <w:ind w:firstLine="480" w:firstLineChars="200"/>
              <w:rPr>
                <w:bCs/>
                <w:szCs w:val="24"/>
              </w:rPr>
            </w:pPr>
            <w:r>
              <w:rPr>
                <w:rFonts w:hint="eastAsia"/>
                <w:bCs/>
                <w:szCs w:val="24"/>
              </w:rPr>
              <w:t>③好氧区曝气管的分布密度按照前密后稀的方式布置，曝气时通过控制将空气量按照梯度分布于好氧反应流程上，可以满足好氧反应各段对供氧量的不同需求，提高供氧效率，降低能耗。</w:t>
            </w:r>
          </w:p>
          <w:p>
            <w:pPr>
              <w:adjustRightInd w:val="0"/>
              <w:snapToGrid w:val="0"/>
              <w:spacing w:line="360" w:lineRule="auto"/>
              <w:ind w:firstLine="480" w:firstLineChars="200"/>
              <w:rPr>
                <w:bCs/>
                <w:szCs w:val="24"/>
              </w:rPr>
            </w:pPr>
            <w:r>
              <w:rPr>
                <w:rFonts w:hint="eastAsia"/>
                <w:bCs/>
                <w:szCs w:val="24"/>
              </w:rPr>
              <w:t>B、分离段：膜分离技术</w:t>
            </w:r>
          </w:p>
          <w:p>
            <w:pPr>
              <w:adjustRightInd w:val="0"/>
              <w:snapToGrid w:val="0"/>
              <w:spacing w:line="360" w:lineRule="auto"/>
              <w:ind w:firstLine="480" w:firstLineChars="200"/>
              <w:rPr>
                <w:bCs/>
                <w:szCs w:val="24"/>
              </w:rPr>
            </w:pPr>
            <w:r>
              <w:rPr>
                <w:rFonts w:hint="eastAsia"/>
                <w:bCs/>
                <w:szCs w:val="24"/>
              </w:rPr>
              <w:t>本工艺分离段采用的是膜分离技术。该技术基于膜具有选择透过性的独特功能所开发，是近30年来迅速发展的一项高新技术，目前已广泛应用于水质净化、食品、生物医药等众多领域。在污水深度处理中通常利用膜的错流过滤作用形成一定的膜通量从而实现连续的固液分离效果。与常规分离方法相比，膜分离过程具有能耗低、单级分离效率高、过程简单、不污染环境、经济性较好、没有相变、可在常温下连续操作以及可直接放大等特点。在全球水资源紧缺、环境污染日益严重的今天，膜分离技术作为一种新型的再生水回用技术，其发展潜力巨大，因此得到了越来越广泛的应用。</w:t>
            </w:r>
          </w:p>
          <w:p>
            <w:pPr>
              <w:adjustRightInd w:val="0"/>
              <w:snapToGrid w:val="0"/>
              <w:spacing w:line="360" w:lineRule="auto"/>
              <w:ind w:firstLine="480" w:firstLineChars="200"/>
              <w:rPr>
                <w:szCs w:val="28"/>
              </w:rPr>
            </w:pPr>
            <w:r>
              <w:rPr>
                <w:rFonts w:hint="eastAsia"/>
                <w:szCs w:val="28"/>
              </w:rPr>
              <w:t>膜生物反应器(MBR)实际上是三类反应器的总称，分别是膜－曝气生物反应器（MABR）、萃取膜生物反应器（EMBR）和膜分离生物反应器（MBR）。但由于前两种反应器尚处在实验室阶段，无实际的工程应用，所以通常所说的膜生物反应器即是指膜分离生物反应器（MBR）。按膜组件和生物反应器的相对位置，膜分离生物反应器可分为分置式MBR和一体式MBR两种。</w:t>
            </w:r>
          </w:p>
          <w:p>
            <w:pPr>
              <w:tabs>
                <w:tab w:val="left" w:pos="3100"/>
              </w:tabs>
              <w:adjustRightInd w:val="0"/>
              <w:snapToGrid w:val="0"/>
              <w:spacing w:line="360" w:lineRule="auto"/>
              <w:ind w:firstLine="480" w:firstLineChars="200"/>
              <w:rPr>
                <w:b/>
                <w:bCs/>
              </w:rPr>
            </w:pPr>
            <w:r>
              <w:rPr>
                <w:rFonts w:hint="eastAsia" w:ascii="宋体" w:hAnsi="宋体" w:cs="宋体"/>
              </w:rPr>
              <w:t xml:space="preserve">        </w:t>
            </w:r>
            <w:r>
              <w:rPr>
                <w:rFonts w:hint="eastAsia" w:ascii="宋体" w:hAnsi="宋体" w:cs="宋体"/>
              </w:rPr>
              <w:drawing>
                <wp:inline distT="0" distB="0" distL="0" distR="0">
                  <wp:extent cx="4057650" cy="1685925"/>
                  <wp:effectExtent l="1905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23" cstate="print"/>
                          <a:srcRect/>
                          <a:stretch>
                            <a:fillRect/>
                          </a:stretch>
                        </pic:blipFill>
                        <pic:spPr>
                          <a:xfrm>
                            <a:off x="0" y="0"/>
                            <a:ext cx="4057650" cy="1685925"/>
                          </a:xfrm>
                          <a:prstGeom prst="rect">
                            <a:avLst/>
                          </a:prstGeom>
                          <a:noFill/>
                          <a:ln w="9525">
                            <a:noFill/>
                            <a:miter lim="800000"/>
                            <a:headEnd/>
                            <a:tailEnd/>
                          </a:ln>
                        </pic:spPr>
                      </pic:pic>
                    </a:graphicData>
                  </a:graphic>
                </wp:inline>
              </w:drawing>
            </w:r>
          </w:p>
          <w:p>
            <w:pPr>
              <w:adjustRightInd w:val="0"/>
              <w:snapToGrid w:val="0"/>
              <w:spacing w:line="360" w:lineRule="auto"/>
              <w:ind w:firstLine="422" w:firstLineChars="200"/>
              <w:jc w:val="center"/>
              <w:rPr>
                <w:b/>
                <w:bCs/>
                <w:sz w:val="21"/>
              </w:rPr>
            </w:pPr>
            <w:r>
              <w:rPr>
                <w:b/>
                <w:bCs/>
                <w:sz w:val="21"/>
              </w:rPr>
              <w:t>图</w:t>
            </w:r>
            <w:r>
              <w:rPr>
                <w:rFonts w:hint="eastAsia"/>
                <w:b/>
                <w:bCs/>
                <w:sz w:val="21"/>
              </w:rPr>
              <w:t xml:space="preserve">5-4  </w:t>
            </w:r>
            <w:r>
              <w:rPr>
                <w:b/>
                <w:bCs/>
                <w:sz w:val="21"/>
              </w:rPr>
              <w:t>分置式MBR（左）和一体式MBR（右）流程示意图</w:t>
            </w:r>
          </w:p>
          <w:p>
            <w:pPr>
              <w:adjustRightInd w:val="0"/>
              <w:snapToGrid w:val="0"/>
              <w:spacing w:line="360" w:lineRule="auto"/>
              <w:ind w:firstLine="480" w:firstLineChars="200"/>
              <w:rPr>
                <w:szCs w:val="28"/>
              </w:rPr>
            </w:pPr>
            <w:r>
              <w:rPr>
                <w:rFonts w:hint="eastAsia"/>
                <w:szCs w:val="28"/>
              </w:rPr>
              <w:t>分置式MBR通过料液循环错流运行，生物反应器的混合由泵增压后进入膜组件，在压力作用下膜过滤液成为系统处理出水，活性污泥、大分子物质等则被膜截留。其特点是：运行稳定可靠，操作管理方便，但动力消耗高。</w:t>
            </w:r>
          </w:p>
          <w:p>
            <w:pPr>
              <w:adjustRightInd w:val="0"/>
              <w:snapToGrid w:val="0"/>
              <w:spacing w:line="360" w:lineRule="auto"/>
              <w:ind w:firstLine="480" w:firstLineChars="200"/>
              <w:rPr>
                <w:szCs w:val="28"/>
              </w:rPr>
            </w:pPr>
            <w:r>
              <w:rPr>
                <w:rFonts w:hint="eastAsia"/>
                <w:szCs w:val="28"/>
              </w:rPr>
              <w:t>一体化膜生物反应器SMBR，也称浸没式膜生物反应器（Submerge MembraneBio-Reacator），是近年兴起的一种新型工艺，该工艺将膜组件置于生物反应器中，通过工艺泵的负压抽吸作用得到膜过滤出水，应用于SMBR的膜组件有中空纤维膜、管式陶瓷膜和平板式膜。该工艺可以把固形物及其他大分子物质直接留在生物反应器内，通过曝气在池内造成一定的旋转流，增加膜表面的紊流和减轻膜表面的污染。由于不需要混合液的循环系统，能耗较低，较分置式的MBR 占地更为紧凑，不需复杂的支撑体。另外，MBR易于从原有的传统活性污泥工艺进行改造，由此在污水的处理与回用中的技术研究而倍受关注。</w:t>
            </w:r>
          </w:p>
          <w:p>
            <w:pPr>
              <w:tabs>
                <w:tab w:val="left" w:pos="3100"/>
              </w:tabs>
              <w:adjustRightInd w:val="0"/>
              <w:snapToGrid w:val="0"/>
              <w:spacing w:line="360" w:lineRule="auto"/>
              <w:ind w:firstLine="562" w:firstLineChars="200"/>
              <w:rPr>
                <w:b/>
                <w:bCs/>
                <w:sz w:val="28"/>
                <w:szCs w:val="21"/>
              </w:rPr>
            </w:pPr>
            <w:r>
              <w:rPr>
                <w:b/>
                <w:bCs/>
                <w:sz w:val="28"/>
                <w:szCs w:val="21"/>
              </w:rPr>
              <w:t>3、主要污染源分析</w:t>
            </w:r>
          </w:p>
          <w:p>
            <w:pPr>
              <w:adjustRightInd w:val="0"/>
              <w:snapToGrid w:val="0"/>
              <w:spacing w:line="360" w:lineRule="auto"/>
              <w:ind w:firstLine="480" w:firstLineChars="200"/>
            </w:pPr>
            <w:r>
              <w:rPr>
                <w:rFonts w:hint="eastAsia"/>
              </w:rPr>
              <w:t xml:space="preserve">本项目为污水处理厂新建和改造项目，因此运营期的主要污染源为污水处理系统在运行过程中产生的恶臭、噪声及污泥等固体废物以及管理人员产生的生活废水、生活垃圾。 </w:t>
            </w:r>
          </w:p>
          <w:p>
            <w:pPr>
              <w:pStyle w:val="12"/>
              <w:adjustRightInd w:val="0"/>
              <w:snapToGrid w:val="0"/>
              <w:spacing w:line="360" w:lineRule="auto"/>
              <w:ind w:firstLine="482" w:firstLineChars="200"/>
              <w:rPr>
                <w:b/>
                <w:bCs/>
                <w:sz w:val="24"/>
              </w:rPr>
            </w:pPr>
            <w:r>
              <w:rPr>
                <w:rFonts w:hint="eastAsia"/>
                <w:b/>
                <w:bCs/>
                <w:sz w:val="24"/>
              </w:rPr>
              <w:t>（1）</w:t>
            </w:r>
            <w:r>
              <w:rPr>
                <w:b/>
                <w:bCs/>
                <w:sz w:val="24"/>
              </w:rPr>
              <w:t>臭气</w:t>
            </w:r>
          </w:p>
          <w:p>
            <w:pPr>
              <w:spacing w:line="360" w:lineRule="auto"/>
              <w:ind w:firstLine="480"/>
              <w:rPr>
                <w:b/>
                <w:sz w:val="21"/>
                <w:szCs w:val="13"/>
              </w:rPr>
            </w:pPr>
            <w:r>
              <w:rPr>
                <w:rFonts w:hint="eastAsia"/>
                <w:szCs w:val="24"/>
              </w:rPr>
              <w:t>项目运行废气为来自于污水处理过程中生产的恶臭，主要污染因子为氨、硫化氢、臭气浓度等，呈无组织排放。根据《城市污水处理厂主要恶臭源的排放规律研究》（席劲 瑛、胡洪营、罗彬、王灿，中国给水排水，</w:t>
            </w:r>
            <w:r>
              <w:rPr>
                <w:szCs w:val="24"/>
              </w:rPr>
              <w:t xml:space="preserve">2006 </w:t>
            </w:r>
            <w:r>
              <w:rPr>
                <w:rFonts w:hint="eastAsia"/>
                <w:szCs w:val="24"/>
              </w:rPr>
              <w:t xml:space="preserve">年 </w:t>
            </w:r>
            <w:r>
              <w:rPr>
                <w:szCs w:val="24"/>
              </w:rPr>
              <w:t xml:space="preserve">11 </w:t>
            </w:r>
            <w:r>
              <w:rPr>
                <w:rFonts w:hint="eastAsia"/>
                <w:szCs w:val="24"/>
              </w:rPr>
              <w:t xml:space="preserve">月第 </w:t>
            </w:r>
            <w:r>
              <w:rPr>
                <w:szCs w:val="24"/>
              </w:rPr>
              <w:t xml:space="preserve">22 </w:t>
            </w:r>
            <w:r>
              <w:rPr>
                <w:rFonts w:hint="eastAsia"/>
                <w:szCs w:val="24"/>
              </w:rPr>
              <w:t xml:space="preserve">卷第 </w:t>
            </w:r>
            <w:r>
              <w:rPr>
                <w:szCs w:val="24"/>
              </w:rPr>
              <w:t xml:space="preserve">21 </w:t>
            </w:r>
            <w:r>
              <w:rPr>
                <w:rFonts w:hint="eastAsia"/>
                <w:szCs w:val="24"/>
              </w:rPr>
              <w:t>期），城市污水处理厂的恶臭源主要分布在进水区（格栅、调节池）和污泥处理区（贮泥池），一般污水生化处理单元的恶臭污染相对较小。通过类比《大理州洱源县（洱海流域）城镇及村落污水集中收集处理工程环境影响报告表》（2016年7月）中相同处理工艺及规模的污水处理厂，三座污水处理厂废气产排情况如下：</w:t>
            </w:r>
          </w:p>
          <w:p>
            <w:pPr>
              <w:spacing w:line="360" w:lineRule="auto"/>
              <w:jc w:val="center"/>
              <w:rPr>
                <w:b/>
                <w:sz w:val="21"/>
                <w:szCs w:val="13"/>
              </w:rPr>
            </w:pPr>
            <w:r>
              <w:rPr>
                <w:b/>
                <w:sz w:val="21"/>
                <w:szCs w:val="13"/>
              </w:rPr>
              <w:t>表 5-</w:t>
            </w:r>
            <w:r>
              <w:rPr>
                <w:rFonts w:hint="eastAsia"/>
                <w:b/>
                <w:sz w:val="21"/>
                <w:szCs w:val="13"/>
              </w:rPr>
              <w:t xml:space="preserve">6 </w:t>
            </w:r>
            <w:r>
              <w:rPr>
                <w:b/>
                <w:sz w:val="21"/>
                <w:szCs w:val="13"/>
              </w:rPr>
              <w:t xml:space="preserve"> </w:t>
            </w:r>
            <w:r>
              <w:rPr>
                <w:rFonts w:hint="eastAsia"/>
                <w:b/>
                <w:sz w:val="21"/>
                <w:szCs w:val="13"/>
              </w:rPr>
              <w:t>正产工况下</w:t>
            </w:r>
            <w:r>
              <w:rPr>
                <w:b/>
                <w:sz w:val="21"/>
                <w:szCs w:val="13"/>
              </w:rPr>
              <w:t>项目污水处理系统恶臭气体产</w:t>
            </w:r>
            <w:r>
              <w:rPr>
                <w:rFonts w:hint="eastAsia"/>
                <w:b/>
                <w:sz w:val="21"/>
                <w:szCs w:val="13"/>
              </w:rPr>
              <w:t>、排情况表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0"/>
              <w:gridCol w:w="1092"/>
              <w:gridCol w:w="972"/>
              <w:gridCol w:w="1080"/>
              <w:gridCol w:w="1198"/>
              <w:gridCol w:w="1032"/>
              <w:gridCol w:w="94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Merge w:val="restart"/>
                  <w:vAlign w:val="center"/>
                </w:tcPr>
                <w:p>
                  <w:pPr>
                    <w:jc w:val="center"/>
                    <w:rPr>
                      <w:b/>
                      <w:bCs/>
                      <w:sz w:val="21"/>
                      <w:szCs w:val="16"/>
                    </w:rPr>
                  </w:pPr>
                  <w:r>
                    <w:rPr>
                      <w:b/>
                      <w:bCs/>
                      <w:sz w:val="21"/>
                      <w:szCs w:val="16"/>
                    </w:rPr>
                    <w:t>名称</w:t>
                  </w:r>
                </w:p>
              </w:tc>
              <w:tc>
                <w:tcPr>
                  <w:tcW w:w="1092" w:type="dxa"/>
                  <w:vMerge w:val="restart"/>
                  <w:vAlign w:val="center"/>
                </w:tcPr>
                <w:p>
                  <w:pPr>
                    <w:jc w:val="center"/>
                    <w:rPr>
                      <w:b/>
                      <w:bCs/>
                      <w:sz w:val="21"/>
                      <w:szCs w:val="16"/>
                    </w:rPr>
                  </w:pPr>
                  <w:r>
                    <w:rPr>
                      <w:b/>
                      <w:bCs/>
                      <w:sz w:val="21"/>
                      <w:szCs w:val="16"/>
                    </w:rPr>
                    <w:t>处理规模（m</w:t>
                  </w:r>
                  <w:r>
                    <w:rPr>
                      <w:b/>
                      <w:bCs/>
                      <w:sz w:val="21"/>
                      <w:szCs w:val="16"/>
                      <w:vertAlign w:val="superscript"/>
                    </w:rPr>
                    <w:t>3</w:t>
                  </w:r>
                  <w:r>
                    <w:rPr>
                      <w:b/>
                      <w:bCs/>
                      <w:sz w:val="21"/>
                      <w:szCs w:val="16"/>
                    </w:rPr>
                    <w:t>/d）</w:t>
                  </w:r>
                </w:p>
              </w:tc>
              <w:tc>
                <w:tcPr>
                  <w:tcW w:w="2052" w:type="dxa"/>
                  <w:gridSpan w:val="2"/>
                  <w:vAlign w:val="center"/>
                </w:tcPr>
                <w:p>
                  <w:pPr>
                    <w:jc w:val="center"/>
                    <w:rPr>
                      <w:b/>
                      <w:bCs/>
                      <w:sz w:val="21"/>
                      <w:szCs w:val="16"/>
                    </w:rPr>
                  </w:pPr>
                  <w:r>
                    <w:rPr>
                      <w:rFonts w:hint="eastAsia"/>
                      <w:b/>
                      <w:bCs/>
                      <w:sz w:val="21"/>
                      <w:szCs w:val="16"/>
                    </w:rPr>
                    <w:t>产生情况（</w:t>
                  </w:r>
                  <w:r>
                    <w:rPr>
                      <w:b/>
                      <w:bCs/>
                      <w:sz w:val="21"/>
                      <w:szCs w:val="16"/>
                    </w:rPr>
                    <w:t>g/h</w:t>
                  </w:r>
                  <w:r>
                    <w:rPr>
                      <w:rFonts w:hint="eastAsia"/>
                      <w:b/>
                      <w:bCs/>
                      <w:sz w:val="21"/>
                      <w:szCs w:val="16"/>
                    </w:rPr>
                    <w:t>）</w:t>
                  </w:r>
                </w:p>
              </w:tc>
              <w:tc>
                <w:tcPr>
                  <w:tcW w:w="1198" w:type="dxa"/>
                  <w:vMerge w:val="restart"/>
                  <w:vAlign w:val="center"/>
                </w:tcPr>
                <w:p>
                  <w:pPr>
                    <w:jc w:val="center"/>
                    <w:rPr>
                      <w:b/>
                      <w:bCs/>
                      <w:sz w:val="21"/>
                      <w:szCs w:val="16"/>
                    </w:rPr>
                  </w:pPr>
                  <w:r>
                    <w:rPr>
                      <w:rFonts w:hint="eastAsia"/>
                      <w:b/>
                      <w:bCs/>
                      <w:sz w:val="21"/>
                      <w:szCs w:val="16"/>
                    </w:rPr>
                    <w:t>治理措施</w:t>
                  </w:r>
                </w:p>
              </w:tc>
              <w:tc>
                <w:tcPr>
                  <w:tcW w:w="1981" w:type="dxa"/>
                  <w:gridSpan w:val="2"/>
                  <w:vAlign w:val="center"/>
                </w:tcPr>
                <w:p>
                  <w:pPr>
                    <w:jc w:val="center"/>
                    <w:rPr>
                      <w:b/>
                      <w:bCs/>
                      <w:sz w:val="21"/>
                      <w:szCs w:val="16"/>
                    </w:rPr>
                  </w:pPr>
                  <w:r>
                    <w:rPr>
                      <w:rFonts w:hint="eastAsia"/>
                      <w:b/>
                      <w:bCs/>
                      <w:sz w:val="21"/>
                      <w:szCs w:val="16"/>
                    </w:rPr>
                    <w:t>排放情况（</w:t>
                  </w:r>
                  <w:r>
                    <w:rPr>
                      <w:b/>
                      <w:bCs/>
                      <w:sz w:val="21"/>
                      <w:szCs w:val="16"/>
                    </w:rPr>
                    <w:t>g/h</w:t>
                  </w:r>
                  <w:r>
                    <w:rPr>
                      <w:rFonts w:hint="eastAsia"/>
                      <w:b/>
                      <w:bCs/>
                      <w:sz w:val="21"/>
                      <w:szCs w:val="16"/>
                    </w:rPr>
                    <w:t>）</w:t>
                  </w:r>
                </w:p>
              </w:tc>
              <w:tc>
                <w:tcPr>
                  <w:tcW w:w="1316" w:type="dxa"/>
                  <w:vMerge w:val="restart"/>
                  <w:vAlign w:val="center"/>
                </w:tcPr>
                <w:p>
                  <w:pPr>
                    <w:jc w:val="center"/>
                    <w:rPr>
                      <w:b/>
                      <w:bCs/>
                      <w:sz w:val="21"/>
                      <w:szCs w:val="16"/>
                    </w:rPr>
                  </w:pPr>
                  <w:r>
                    <w:rPr>
                      <w:rFonts w:hint="eastAsia"/>
                      <w:b/>
                      <w:bCs/>
                      <w:sz w:val="21"/>
                      <w:szCs w:val="16"/>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Merge w:val="continue"/>
                  <w:vAlign w:val="center"/>
                </w:tcPr>
                <w:p>
                  <w:pPr>
                    <w:jc w:val="center"/>
                    <w:rPr>
                      <w:b/>
                      <w:bCs/>
                      <w:sz w:val="21"/>
                      <w:szCs w:val="16"/>
                    </w:rPr>
                  </w:pPr>
                </w:p>
              </w:tc>
              <w:tc>
                <w:tcPr>
                  <w:tcW w:w="1092" w:type="dxa"/>
                  <w:vMerge w:val="continue"/>
                  <w:vAlign w:val="center"/>
                </w:tcPr>
                <w:p>
                  <w:pPr>
                    <w:jc w:val="center"/>
                    <w:rPr>
                      <w:b/>
                      <w:bCs/>
                      <w:sz w:val="21"/>
                      <w:szCs w:val="16"/>
                    </w:rPr>
                  </w:pPr>
                </w:p>
              </w:tc>
              <w:tc>
                <w:tcPr>
                  <w:tcW w:w="972" w:type="dxa"/>
                  <w:vAlign w:val="center"/>
                </w:tcPr>
                <w:p>
                  <w:pPr>
                    <w:jc w:val="center"/>
                    <w:rPr>
                      <w:b/>
                      <w:bCs/>
                      <w:sz w:val="21"/>
                      <w:szCs w:val="16"/>
                    </w:rPr>
                  </w:pPr>
                  <w:r>
                    <w:rPr>
                      <w:b/>
                      <w:bCs/>
                      <w:sz w:val="21"/>
                      <w:szCs w:val="16"/>
                    </w:rPr>
                    <w:t>NH</w:t>
                  </w:r>
                  <w:r>
                    <w:rPr>
                      <w:b/>
                      <w:bCs/>
                      <w:sz w:val="21"/>
                      <w:szCs w:val="16"/>
                      <w:vertAlign w:val="subscript"/>
                    </w:rPr>
                    <w:t>3</w:t>
                  </w:r>
                </w:p>
              </w:tc>
              <w:tc>
                <w:tcPr>
                  <w:tcW w:w="1080" w:type="dxa"/>
                  <w:vAlign w:val="center"/>
                </w:tcPr>
                <w:p>
                  <w:pPr>
                    <w:jc w:val="center"/>
                    <w:rPr>
                      <w:b/>
                      <w:bCs/>
                      <w:sz w:val="21"/>
                      <w:szCs w:val="16"/>
                    </w:rPr>
                  </w:pPr>
                  <w:r>
                    <w:rPr>
                      <w:b/>
                      <w:bCs/>
                      <w:sz w:val="21"/>
                      <w:szCs w:val="16"/>
                    </w:rPr>
                    <w:t>H</w:t>
                  </w:r>
                  <w:r>
                    <w:rPr>
                      <w:b/>
                      <w:bCs/>
                      <w:sz w:val="21"/>
                      <w:szCs w:val="16"/>
                      <w:vertAlign w:val="subscript"/>
                    </w:rPr>
                    <w:t>2</w:t>
                  </w:r>
                  <w:r>
                    <w:rPr>
                      <w:b/>
                      <w:bCs/>
                      <w:sz w:val="21"/>
                      <w:szCs w:val="16"/>
                    </w:rPr>
                    <w:t>S</w:t>
                  </w:r>
                </w:p>
              </w:tc>
              <w:tc>
                <w:tcPr>
                  <w:tcW w:w="1198" w:type="dxa"/>
                  <w:vMerge w:val="continue"/>
                  <w:vAlign w:val="center"/>
                </w:tcPr>
                <w:p>
                  <w:pPr>
                    <w:jc w:val="center"/>
                    <w:rPr>
                      <w:b/>
                      <w:bCs/>
                      <w:sz w:val="21"/>
                      <w:szCs w:val="16"/>
                    </w:rPr>
                  </w:pPr>
                </w:p>
              </w:tc>
              <w:tc>
                <w:tcPr>
                  <w:tcW w:w="1032" w:type="dxa"/>
                  <w:vAlign w:val="center"/>
                </w:tcPr>
                <w:p>
                  <w:pPr>
                    <w:jc w:val="center"/>
                    <w:rPr>
                      <w:b/>
                      <w:bCs/>
                      <w:sz w:val="21"/>
                      <w:szCs w:val="16"/>
                    </w:rPr>
                  </w:pPr>
                  <w:r>
                    <w:rPr>
                      <w:b/>
                      <w:bCs/>
                      <w:sz w:val="21"/>
                      <w:szCs w:val="16"/>
                    </w:rPr>
                    <w:t>NH</w:t>
                  </w:r>
                  <w:r>
                    <w:rPr>
                      <w:b/>
                      <w:bCs/>
                      <w:sz w:val="21"/>
                      <w:szCs w:val="16"/>
                      <w:vertAlign w:val="subscript"/>
                    </w:rPr>
                    <w:t>3</w:t>
                  </w:r>
                </w:p>
              </w:tc>
              <w:tc>
                <w:tcPr>
                  <w:tcW w:w="949" w:type="dxa"/>
                  <w:vAlign w:val="center"/>
                </w:tcPr>
                <w:p>
                  <w:pPr>
                    <w:jc w:val="center"/>
                    <w:rPr>
                      <w:b/>
                      <w:bCs/>
                      <w:sz w:val="21"/>
                      <w:szCs w:val="16"/>
                    </w:rPr>
                  </w:pPr>
                  <w:r>
                    <w:rPr>
                      <w:b/>
                      <w:bCs/>
                      <w:sz w:val="21"/>
                      <w:szCs w:val="16"/>
                    </w:rPr>
                    <w:t>H</w:t>
                  </w:r>
                  <w:r>
                    <w:rPr>
                      <w:b/>
                      <w:bCs/>
                      <w:sz w:val="21"/>
                      <w:szCs w:val="16"/>
                      <w:vertAlign w:val="subscript"/>
                    </w:rPr>
                    <w:t>2</w:t>
                  </w:r>
                  <w:r>
                    <w:rPr>
                      <w:b/>
                      <w:bCs/>
                      <w:sz w:val="21"/>
                      <w:szCs w:val="16"/>
                    </w:rPr>
                    <w:t>S</w:t>
                  </w:r>
                </w:p>
              </w:tc>
              <w:tc>
                <w:tcPr>
                  <w:tcW w:w="1316" w:type="dxa"/>
                  <w:vMerge w:val="continue"/>
                  <w:vAlign w:val="center"/>
                </w:tcPr>
                <w:p>
                  <w:pPr>
                    <w:jc w:val="center"/>
                    <w:rPr>
                      <w:b/>
                      <w:bCs/>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Align w:val="center"/>
                </w:tcPr>
                <w:p>
                  <w:pPr>
                    <w:jc w:val="center"/>
                    <w:rPr>
                      <w:sz w:val="21"/>
                      <w:szCs w:val="16"/>
                    </w:rPr>
                  </w:pPr>
                  <w:r>
                    <w:rPr>
                      <w:sz w:val="21"/>
                      <w:szCs w:val="16"/>
                    </w:rPr>
                    <w:t>邓川污水厂</w:t>
                  </w:r>
                </w:p>
              </w:tc>
              <w:tc>
                <w:tcPr>
                  <w:tcW w:w="1092" w:type="dxa"/>
                  <w:vAlign w:val="center"/>
                </w:tcPr>
                <w:p>
                  <w:pPr>
                    <w:jc w:val="center"/>
                    <w:rPr>
                      <w:sz w:val="21"/>
                      <w:szCs w:val="16"/>
                    </w:rPr>
                  </w:pPr>
                  <w:r>
                    <w:rPr>
                      <w:rFonts w:hint="eastAsia"/>
                      <w:sz w:val="21"/>
                      <w:szCs w:val="16"/>
                    </w:rPr>
                    <w:t>2</w:t>
                  </w:r>
                  <w:r>
                    <w:rPr>
                      <w:sz w:val="21"/>
                      <w:szCs w:val="16"/>
                    </w:rPr>
                    <w:t>000</w:t>
                  </w:r>
                </w:p>
              </w:tc>
              <w:tc>
                <w:tcPr>
                  <w:tcW w:w="972" w:type="dxa"/>
                </w:tcPr>
                <w:p>
                  <w:pPr>
                    <w:jc w:val="center"/>
                    <w:rPr>
                      <w:sz w:val="21"/>
                      <w:szCs w:val="16"/>
                    </w:rPr>
                  </w:pPr>
                  <w:r>
                    <w:rPr>
                      <w:rFonts w:hint="eastAsia"/>
                      <w:sz w:val="21"/>
                      <w:szCs w:val="16"/>
                    </w:rPr>
                    <w:t>6.3</w:t>
                  </w:r>
                </w:p>
              </w:tc>
              <w:tc>
                <w:tcPr>
                  <w:tcW w:w="1080" w:type="dxa"/>
                  <w:vAlign w:val="center"/>
                </w:tcPr>
                <w:p>
                  <w:pPr>
                    <w:jc w:val="center"/>
                    <w:rPr>
                      <w:sz w:val="21"/>
                      <w:szCs w:val="16"/>
                    </w:rPr>
                  </w:pPr>
                  <w:r>
                    <w:rPr>
                      <w:rFonts w:hint="eastAsia"/>
                      <w:sz w:val="21"/>
                      <w:szCs w:val="16"/>
                    </w:rPr>
                    <w:t>0.020</w:t>
                  </w:r>
                </w:p>
              </w:tc>
              <w:tc>
                <w:tcPr>
                  <w:tcW w:w="1198" w:type="dxa"/>
                  <w:vMerge w:val="restart"/>
                  <w:vAlign w:val="center"/>
                </w:tcPr>
                <w:p>
                  <w:pPr>
                    <w:jc w:val="center"/>
                    <w:rPr>
                      <w:sz w:val="21"/>
                      <w:szCs w:val="16"/>
                    </w:rPr>
                  </w:pPr>
                  <w:r>
                    <w:rPr>
                      <w:rFonts w:hint="eastAsia"/>
                      <w:sz w:val="21"/>
                      <w:szCs w:val="16"/>
                    </w:rPr>
                    <w:t>产臭单元采取半封闭，去除率为50%</w:t>
                  </w:r>
                </w:p>
              </w:tc>
              <w:tc>
                <w:tcPr>
                  <w:tcW w:w="1032" w:type="dxa"/>
                  <w:vAlign w:val="center"/>
                </w:tcPr>
                <w:p>
                  <w:pPr>
                    <w:jc w:val="center"/>
                    <w:rPr>
                      <w:sz w:val="21"/>
                      <w:szCs w:val="16"/>
                    </w:rPr>
                  </w:pPr>
                  <w:r>
                    <w:rPr>
                      <w:sz w:val="21"/>
                      <w:szCs w:val="16"/>
                    </w:rPr>
                    <w:t>3.15</w:t>
                  </w:r>
                </w:p>
              </w:tc>
              <w:tc>
                <w:tcPr>
                  <w:tcW w:w="949" w:type="dxa"/>
                  <w:vAlign w:val="center"/>
                </w:tcPr>
                <w:p>
                  <w:pPr>
                    <w:jc w:val="center"/>
                    <w:rPr>
                      <w:sz w:val="21"/>
                      <w:szCs w:val="16"/>
                    </w:rPr>
                  </w:pPr>
                  <w:r>
                    <w:rPr>
                      <w:sz w:val="21"/>
                      <w:szCs w:val="16"/>
                    </w:rPr>
                    <w:t>0.010</w:t>
                  </w:r>
                </w:p>
              </w:tc>
              <w:tc>
                <w:tcPr>
                  <w:tcW w:w="1316" w:type="dxa"/>
                  <w:vAlign w:val="center"/>
                </w:tcPr>
                <w:p>
                  <w:pPr>
                    <w:jc w:val="center"/>
                    <w:rPr>
                      <w:sz w:val="21"/>
                      <w:szCs w:val="16"/>
                    </w:rPr>
                  </w:pPr>
                  <w:r>
                    <w:rPr>
                      <w:rFonts w:hint="eastAsia"/>
                      <w:sz w:val="21"/>
                      <w:szCs w:val="16"/>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0" w:type="dxa"/>
                  <w:vAlign w:val="center"/>
                </w:tcPr>
                <w:p>
                  <w:pPr>
                    <w:jc w:val="center"/>
                    <w:rPr>
                      <w:sz w:val="21"/>
                      <w:szCs w:val="16"/>
                    </w:rPr>
                  </w:pPr>
                  <w:r>
                    <w:rPr>
                      <w:sz w:val="21"/>
                      <w:szCs w:val="16"/>
                    </w:rPr>
                    <w:t>右所污水厂</w:t>
                  </w:r>
                </w:p>
              </w:tc>
              <w:tc>
                <w:tcPr>
                  <w:tcW w:w="1092" w:type="dxa"/>
                  <w:vAlign w:val="center"/>
                </w:tcPr>
                <w:p>
                  <w:pPr>
                    <w:jc w:val="center"/>
                    <w:rPr>
                      <w:sz w:val="21"/>
                      <w:szCs w:val="16"/>
                    </w:rPr>
                  </w:pPr>
                  <w:r>
                    <w:rPr>
                      <w:sz w:val="21"/>
                      <w:szCs w:val="16"/>
                    </w:rPr>
                    <w:t>1000</w:t>
                  </w:r>
                </w:p>
              </w:tc>
              <w:tc>
                <w:tcPr>
                  <w:tcW w:w="972" w:type="dxa"/>
                </w:tcPr>
                <w:p>
                  <w:pPr>
                    <w:jc w:val="center"/>
                    <w:rPr>
                      <w:sz w:val="21"/>
                      <w:szCs w:val="16"/>
                    </w:rPr>
                  </w:pPr>
                  <w:r>
                    <w:rPr>
                      <w:rFonts w:hint="eastAsia"/>
                      <w:sz w:val="21"/>
                      <w:szCs w:val="16"/>
                    </w:rPr>
                    <w:t>3.16</w:t>
                  </w:r>
                </w:p>
              </w:tc>
              <w:tc>
                <w:tcPr>
                  <w:tcW w:w="1080" w:type="dxa"/>
                  <w:vAlign w:val="center"/>
                </w:tcPr>
                <w:p>
                  <w:pPr>
                    <w:jc w:val="center"/>
                    <w:rPr>
                      <w:sz w:val="21"/>
                      <w:szCs w:val="16"/>
                    </w:rPr>
                  </w:pPr>
                  <w:r>
                    <w:rPr>
                      <w:sz w:val="21"/>
                      <w:szCs w:val="16"/>
                    </w:rPr>
                    <w:t>0.0</w:t>
                  </w:r>
                  <w:r>
                    <w:rPr>
                      <w:rFonts w:hint="eastAsia"/>
                      <w:sz w:val="21"/>
                      <w:szCs w:val="16"/>
                    </w:rPr>
                    <w:t>10</w:t>
                  </w:r>
                </w:p>
              </w:tc>
              <w:tc>
                <w:tcPr>
                  <w:tcW w:w="1198" w:type="dxa"/>
                  <w:vMerge w:val="continue"/>
                  <w:vAlign w:val="center"/>
                </w:tcPr>
                <w:p>
                  <w:pPr>
                    <w:jc w:val="center"/>
                    <w:rPr>
                      <w:sz w:val="21"/>
                      <w:szCs w:val="16"/>
                    </w:rPr>
                  </w:pPr>
                </w:p>
              </w:tc>
              <w:tc>
                <w:tcPr>
                  <w:tcW w:w="1032" w:type="dxa"/>
                  <w:vAlign w:val="center"/>
                </w:tcPr>
                <w:p>
                  <w:pPr>
                    <w:jc w:val="center"/>
                    <w:rPr>
                      <w:sz w:val="21"/>
                      <w:szCs w:val="16"/>
                    </w:rPr>
                  </w:pPr>
                  <w:r>
                    <w:rPr>
                      <w:sz w:val="21"/>
                      <w:szCs w:val="16"/>
                    </w:rPr>
                    <w:t>1.58</w:t>
                  </w:r>
                </w:p>
              </w:tc>
              <w:tc>
                <w:tcPr>
                  <w:tcW w:w="949" w:type="dxa"/>
                  <w:vAlign w:val="center"/>
                </w:tcPr>
                <w:p>
                  <w:pPr>
                    <w:jc w:val="center"/>
                    <w:rPr>
                      <w:sz w:val="21"/>
                      <w:szCs w:val="16"/>
                    </w:rPr>
                  </w:pPr>
                  <w:r>
                    <w:rPr>
                      <w:sz w:val="21"/>
                      <w:szCs w:val="16"/>
                    </w:rPr>
                    <w:t>0.005</w:t>
                  </w:r>
                </w:p>
              </w:tc>
              <w:tc>
                <w:tcPr>
                  <w:tcW w:w="1316" w:type="dxa"/>
                  <w:vAlign w:val="center"/>
                </w:tcPr>
                <w:p>
                  <w:pPr>
                    <w:jc w:val="center"/>
                    <w:rPr>
                      <w:sz w:val="21"/>
                      <w:szCs w:val="16"/>
                    </w:rPr>
                  </w:pPr>
                  <w:r>
                    <w:rPr>
                      <w:rFonts w:hint="eastAsia"/>
                      <w:sz w:val="21"/>
                      <w:szCs w:val="16"/>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Align w:val="center"/>
                </w:tcPr>
                <w:p>
                  <w:pPr>
                    <w:jc w:val="center"/>
                    <w:rPr>
                      <w:sz w:val="21"/>
                      <w:szCs w:val="16"/>
                    </w:rPr>
                  </w:pPr>
                  <w:r>
                    <w:rPr>
                      <w:rFonts w:hint="eastAsia"/>
                      <w:sz w:val="21"/>
                      <w:szCs w:val="16"/>
                    </w:rPr>
                    <w:t>牛街污水厂</w:t>
                  </w:r>
                </w:p>
              </w:tc>
              <w:tc>
                <w:tcPr>
                  <w:tcW w:w="1092" w:type="dxa"/>
                  <w:vAlign w:val="center"/>
                </w:tcPr>
                <w:p>
                  <w:pPr>
                    <w:jc w:val="center"/>
                    <w:rPr>
                      <w:sz w:val="21"/>
                      <w:szCs w:val="16"/>
                    </w:rPr>
                  </w:pPr>
                  <w:r>
                    <w:rPr>
                      <w:rFonts w:hint="eastAsia"/>
                      <w:sz w:val="21"/>
                      <w:szCs w:val="16"/>
                    </w:rPr>
                    <w:t>10</w:t>
                  </w:r>
                  <w:r>
                    <w:rPr>
                      <w:sz w:val="21"/>
                      <w:szCs w:val="16"/>
                    </w:rPr>
                    <w:t>00</w:t>
                  </w:r>
                </w:p>
              </w:tc>
              <w:tc>
                <w:tcPr>
                  <w:tcW w:w="972" w:type="dxa"/>
                </w:tcPr>
                <w:p>
                  <w:pPr>
                    <w:jc w:val="center"/>
                    <w:rPr>
                      <w:sz w:val="21"/>
                      <w:szCs w:val="16"/>
                    </w:rPr>
                  </w:pPr>
                  <w:r>
                    <w:rPr>
                      <w:rFonts w:hint="eastAsia"/>
                      <w:sz w:val="21"/>
                      <w:szCs w:val="16"/>
                    </w:rPr>
                    <w:t>3.16</w:t>
                  </w:r>
                </w:p>
              </w:tc>
              <w:tc>
                <w:tcPr>
                  <w:tcW w:w="1080" w:type="dxa"/>
                  <w:vAlign w:val="center"/>
                </w:tcPr>
                <w:p>
                  <w:pPr>
                    <w:jc w:val="center"/>
                    <w:rPr>
                      <w:sz w:val="21"/>
                      <w:szCs w:val="16"/>
                    </w:rPr>
                  </w:pPr>
                  <w:r>
                    <w:rPr>
                      <w:sz w:val="21"/>
                      <w:szCs w:val="16"/>
                    </w:rPr>
                    <w:t>0.0</w:t>
                  </w:r>
                  <w:r>
                    <w:rPr>
                      <w:rFonts w:hint="eastAsia"/>
                      <w:sz w:val="21"/>
                      <w:szCs w:val="16"/>
                    </w:rPr>
                    <w:t>10</w:t>
                  </w:r>
                </w:p>
              </w:tc>
              <w:tc>
                <w:tcPr>
                  <w:tcW w:w="1198" w:type="dxa"/>
                  <w:vMerge w:val="continue"/>
                  <w:vAlign w:val="center"/>
                </w:tcPr>
                <w:p>
                  <w:pPr>
                    <w:jc w:val="center"/>
                    <w:rPr>
                      <w:sz w:val="21"/>
                      <w:szCs w:val="16"/>
                    </w:rPr>
                  </w:pPr>
                </w:p>
              </w:tc>
              <w:tc>
                <w:tcPr>
                  <w:tcW w:w="1032" w:type="dxa"/>
                  <w:vAlign w:val="center"/>
                </w:tcPr>
                <w:p>
                  <w:pPr>
                    <w:jc w:val="center"/>
                    <w:rPr>
                      <w:sz w:val="21"/>
                      <w:szCs w:val="16"/>
                    </w:rPr>
                  </w:pPr>
                  <w:r>
                    <w:rPr>
                      <w:sz w:val="21"/>
                      <w:szCs w:val="16"/>
                    </w:rPr>
                    <w:t>1.58</w:t>
                  </w:r>
                </w:p>
              </w:tc>
              <w:tc>
                <w:tcPr>
                  <w:tcW w:w="949" w:type="dxa"/>
                  <w:vAlign w:val="center"/>
                </w:tcPr>
                <w:p>
                  <w:pPr>
                    <w:jc w:val="center"/>
                    <w:rPr>
                      <w:sz w:val="21"/>
                      <w:szCs w:val="16"/>
                    </w:rPr>
                  </w:pPr>
                  <w:r>
                    <w:rPr>
                      <w:sz w:val="21"/>
                      <w:szCs w:val="16"/>
                    </w:rPr>
                    <w:t>0.005</w:t>
                  </w:r>
                </w:p>
              </w:tc>
              <w:tc>
                <w:tcPr>
                  <w:tcW w:w="1316" w:type="dxa"/>
                  <w:vAlign w:val="center"/>
                </w:tcPr>
                <w:p>
                  <w:pPr>
                    <w:jc w:val="center"/>
                    <w:rPr>
                      <w:sz w:val="21"/>
                      <w:szCs w:val="16"/>
                    </w:rPr>
                  </w:pPr>
                  <w:r>
                    <w:rPr>
                      <w:rFonts w:hint="eastAsia"/>
                      <w:sz w:val="21"/>
                      <w:szCs w:val="16"/>
                    </w:rPr>
                    <w:t>无组织排放</w:t>
                  </w:r>
                </w:p>
              </w:tc>
            </w:tr>
          </w:tbl>
          <w:p>
            <w:pPr>
              <w:adjustRightInd w:val="0"/>
              <w:snapToGrid w:val="0"/>
              <w:spacing w:beforeLines="50" w:line="360" w:lineRule="auto"/>
              <w:ind w:firstLine="482" w:firstLineChars="200"/>
              <w:rPr>
                <w:b/>
              </w:rPr>
            </w:pPr>
            <w:r>
              <w:rPr>
                <w:rFonts w:hint="eastAsia"/>
                <w:b/>
              </w:rPr>
              <w:t>（2）废水</w:t>
            </w:r>
          </w:p>
          <w:p>
            <w:pPr>
              <w:spacing w:line="360" w:lineRule="auto"/>
              <w:ind w:firstLine="482" w:firstLineChars="200"/>
              <w:rPr>
                <w:b/>
                <w:bCs/>
              </w:rPr>
            </w:pPr>
            <w:r>
              <w:rPr>
                <w:rFonts w:hint="eastAsia"/>
                <w:b/>
                <w:bCs/>
              </w:rPr>
              <w:t>1）邓川污水处理</w:t>
            </w:r>
          </w:p>
          <w:p>
            <w:pPr>
              <w:spacing w:line="360" w:lineRule="auto"/>
              <w:ind w:firstLine="480" w:firstLineChars="200"/>
            </w:pPr>
            <w:r>
              <w:rPr>
                <w:rFonts w:hint="eastAsia"/>
              </w:rPr>
              <w:t>①正常工况源强</w:t>
            </w:r>
          </w:p>
          <w:p>
            <w:pPr>
              <w:spacing w:line="360" w:lineRule="auto"/>
              <w:ind w:firstLine="480" w:firstLineChars="200"/>
            </w:pPr>
            <w:r>
              <w:rPr>
                <w:rFonts w:hint="eastAsia"/>
              </w:rPr>
              <w:t>本项目自身不产生废水，主要是收集处理村镇的生活污水。项目邓川污水厂设计处理规模为2000m</w:t>
            </w:r>
            <w:r>
              <w:rPr>
                <w:rFonts w:hint="eastAsia"/>
                <w:vertAlign w:val="superscript"/>
              </w:rPr>
              <w:t>3</w:t>
            </w:r>
            <w:r>
              <w:rPr>
                <w:rFonts w:hint="eastAsia"/>
              </w:rPr>
              <w:t>/d，收集的生活污水处理达地表水Ⅳ类水质（总氮除外）后</w:t>
            </w:r>
            <w:r>
              <w:t>，</w:t>
            </w:r>
            <w:r>
              <w:rPr>
                <w:rFonts w:hint="eastAsia"/>
              </w:rPr>
              <w:t>进入人工湿地。邓川</w:t>
            </w:r>
            <w:r>
              <w:rPr>
                <w:rFonts w:hint="eastAsia" w:hAnsi="宋体"/>
              </w:rPr>
              <w:t>污水处理厂的</w:t>
            </w:r>
            <w:r>
              <w:rPr>
                <w:rFonts w:hint="eastAsia"/>
              </w:rPr>
              <w:t>水污染物产生及排放情况见下表：</w:t>
            </w:r>
          </w:p>
          <w:p>
            <w:pPr>
              <w:spacing w:line="360" w:lineRule="auto"/>
              <w:jc w:val="center"/>
              <w:rPr>
                <w:b/>
                <w:sz w:val="21"/>
                <w:szCs w:val="13"/>
              </w:rPr>
            </w:pPr>
            <w:r>
              <w:rPr>
                <w:b/>
                <w:sz w:val="21"/>
                <w:szCs w:val="13"/>
              </w:rPr>
              <w:t>表5-</w:t>
            </w:r>
            <w:r>
              <w:rPr>
                <w:rFonts w:hint="eastAsia"/>
                <w:b/>
                <w:sz w:val="21"/>
                <w:szCs w:val="13"/>
              </w:rPr>
              <w:t>7</w:t>
            </w:r>
            <w:r>
              <w:rPr>
                <w:b/>
                <w:sz w:val="21"/>
                <w:szCs w:val="13"/>
              </w:rPr>
              <w:t xml:space="preserve"> </w:t>
            </w:r>
            <w:r>
              <w:rPr>
                <w:rFonts w:hint="eastAsia"/>
                <w:b/>
                <w:sz w:val="21"/>
                <w:szCs w:val="13"/>
              </w:rPr>
              <w:t>正常工况下邓川</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661" w:type="dxa"/>
                  <w:gridSpan w:val="2"/>
                  <w:tcBorders>
                    <w:tl2br w:val="single" w:color="auto" w:sz="4" w:space="0"/>
                  </w:tcBorders>
                  <w:vAlign w:val="center"/>
                </w:tcPr>
                <w:p>
                  <w:pPr>
                    <w:jc w:val="center"/>
                    <w:rPr>
                      <w:b/>
                      <w:bCs/>
                      <w:sz w:val="21"/>
                      <w:szCs w:val="21"/>
                    </w:rPr>
                  </w:pPr>
                  <w:r>
                    <w:rPr>
                      <w:b/>
                      <w:bCs/>
                      <w:sz w:val="21"/>
                      <w:szCs w:val="21"/>
                    </w:rPr>
                    <w:t xml:space="preserve">           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产生量（t/a）</w:t>
                  </w:r>
                </w:p>
              </w:tc>
              <w:tc>
                <w:tcPr>
                  <w:tcW w:w="1291" w:type="dxa"/>
                  <w:vAlign w:val="center"/>
                </w:tcPr>
                <w:p>
                  <w:pPr>
                    <w:widowControl/>
                    <w:jc w:val="center"/>
                    <w:textAlignment w:val="center"/>
                    <w:rPr>
                      <w:sz w:val="21"/>
                      <w:szCs w:val="21"/>
                    </w:rPr>
                  </w:pPr>
                  <w:r>
                    <w:rPr>
                      <w:color w:val="000000"/>
                      <w:kern w:val="0"/>
                      <w:sz w:val="21"/>
                      <w:szCs w:val="21"/>
                    </w:rPr>
                    <w:t>204.4</w:t>
                  </w:r>
                </w:p>
              </w:tc>
              <w:tc>
                <w:tcPr>
                  <w:tcW w:w="1425" w:type="dxa"/>
                  <w:vAlign w:val="center"/>
                </w:tcPr>
                <w:p>
                  <w:pPr>
                    <w:widowControl/>
                    <w:jc w:val="center"/>
                    <w:textAlignment w:val="center"/>
                    <w:rPr>
                      <w:sz w:val="21"/>
                      <w:szCs w:val="21"/>
                    </w:rPr>
                  </w:pPr>
                  <w:r>
                    <w:rPr>
                      <w:color w:val="000000"/>
                      <w:kern w:val="0"/>
                      <w:sz w:val="21"/>
                      <w:szCs w:val="21"/>
                    </w:rPr>
                    <w:t>25.55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30</w:t>
                  </w:r>
                </w:p>
              </w:tc>
              <w:tc>
                <w:tcPr>
                  <w:tcW w:w="1425" w:type="dxa"/>
                  <w:vAlign w:val="center"/>
                </w:tcPr>
                <w:p>
                  <w:pPr>
                    <w:widowControl/>
                    <w:jc w:val="center"/>
                    <w:textAlignment w:val="center"/>
                    <w:rPr>
                      <w:sz w:val="21"/>
                      <w:szCs w:val="21"/>
                    </w:rPr>
                  </w:pPr>
                  <w:r>
                    <w:rPr>
                      <w:color w:val="000000"/>
                      <w:kern w:val="0"/>
                      <w:sz w:val="21"/>
                      <w:szCs w:val="21"/>
                    </w:rPr>
                    <w:t>15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排放量（t/a）</w:t>
                  </w:r>
                </w:p>
              </w:tc>
              <w:tc>
                <w:tcPr>
                  <w:tcW w:w="1291" w:type="dxa"/>
                  <w:vAlign w:val="center"/>
                </w:tcPr>
                <w:p>
                  <w:pPr>
                    <w:widowControl/>
                    <w:jc w:val="center"/>
                    <w:textAlignment w:val="center"/>
                    <w:rPr>
                      <w:sz w:val="21"/>
                      <w:szCs w:val="21"/>
                    </w:rPr>
                  </w:pPr>
                  <w:r>
                    <w:rPr>
                      <w:color w:val="000000"/>
                      <w:kern w:val="0"/>
                      <w:sz w:val="21"/>
                      <w:szCs w:val="21"/>
                    </w:rPr>
                    <w:t>21.9</w:t>
                  </w:r>
                </w:p>
              </w:tc>
              <w:tc>
                <w:tcPr>
                  <w:tcW w:w="1425" w:type="dxa"/>
                  <w:vAlign w:val="center"/>
                </w:tcPr>
                <w:p>
                  <w:pPr>
                    <w:widowControl/>
                    <w:jc w:val="center"/>
                    <w:textAlignment w:val="center"/>
                    <w:rPr>
                      <w:sz w:val="21"/>
                      <w:szCs w:val="21"/>
                    </w:rPr>
                  </w:pPr>
                  <w:r>
                    <w:rPr>
                      <w:color w:val="000000"/>
                      <w:kern w:val="0"/>
                      <w:sz w:val="21"/>
                      <w:szCs w:val="21"/>
                    </w:rPr>
                    <w:t>10.95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0.219</w:t>
                  </w:r>
                </w:p>
              </w:tc>
            </w:tr>
          </w:tbl>
          <w:p>
            <w:pPr>
              <w:adjustRightInd w:val="0"/>
              <w:snapToGrid w:val="0"/>
              <w:spacing w:beforeLines="50" w:line="360" w:lineRule="auto"/>
              <w:ind w:firstLine="480" w:firstLineChars="200"/>
            </w:pPr>
            <w:r>
              <w:rPr>
                <w:rFonts w:hint="eastAsia"/>
              </w:rPr>
              <w:t>②非正常工况源强</w:t>
            </w:r>
          </w:p>
          <w:p>
            <w:pPr>
              <w:adjustRightInd w:val="0"/>
              <w:snapToGrid w:val="0"/>
              <w:spacing w:line="360" w:lineRule="auto"/>
              <w:ind w:firstLine="480" w:firstLineChars="200"/>
            </w:pPr>
            <w:r>
              <w:rPr>
                <w:rFonts w:hint="eastAsia"/>
              </w:rPr>
              <w:t>废水非正常工况排放主要包括设备故障或检修时排放、双电源事故排放等，其中双电源事故时，所有动力设备、建构筑均不能正常运行，所有废水未经处理直接排放时影响最大。本评价废水非正常工况以污水处理站发生双电源同时停电事故，所有污染物未经处理直接进入人工湿地的最大不利影响计。非正常工况废水排放源强见下表：</w:t>
            </w:r>
          </w:p>
          <w:p>
            <w:pPr>
              <w:adjustRightInd w:val="0"/>
              <w:snapToGrid w:val="0"/>
              <w:spacing w:line="360" w:lineRule="auto"/>
              <w:jc w:val="center"/>
              <w:rPr>
                <w:b/>
                <w:sz w:val="21"/>
                <w:szCs w:val="13"/>
              </w:rPr>
            </w:pPr>
            <w:r>
              <w:rPr>
                <w:b/>
                <w:sz w:val="21"/>
                <w:szCs w:val="13"/>
              </w:rPr>
              <w:t>表5-</w:t>
            </w:r>
            <w:r>
              <w:rPr>
                <w:rFonts w:hint="eastAsia"/>
                <w:b/>
                <w:sz w:val="21"/>
                <w:szCs w:val="13"/>
              </w:rPr>
              <w:t>8</w:t>
            </w:r>
            <w:r>
              <w:rPr>
                <w:b/>
                <w:sz w:val="21"/>
                <w:szCs w:val="13"/>
              </w:rPr>
              <w:t xml:space="preserve">  </w:t>
            </w:r>
            <w:r>
              <w:rPr>
                <w:rFonts w:hint="eastAsia"/>
                <w:b/>
                <w:sz w:val="21"/>
                <w:szCs w:val="13"/>
              </w:rPr>
              <w:t>非正常工况下邓川</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b/>
                      <w:bCs/>
                      <w:sz w:val="21"/>
                      <w:szCs w:val="21"/>
                    </w:rPr>
                    <w:t xml:space="preserve">           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产生量（t/a）</w:t>
                  </w:r>
                </w:p>
              </w:tc>
              <w:tc>
                <w:tcPr>
                  <w:tcW w:w="1291" w:type="dxa"/>
                  <w:vAlign w:val="center"/>
                </w:tcPr>
                <w:p>
                  <w:pPr>
                    <w:widowControl/>
                    <w:jc w:val="center"/>
                    <w:textAlignment w:val="center"/>
                    <w:rPr>
                      <w:sz w:val="21"/>
                      <w:szCs w:val="21"/>
                    </w:rPr>
                  </w:pPr>
                  <w:r>
                    <w:rPr>
                      <w:color w:val="000000"/>
                      <w:kern w:val="0"/>
                      <w:sz w:val="21"/>
                      <w:szCs w:val="21"/>
                    </w:rPr>
                    <w:t>204.4</w:t>
                  </w:r>
                </w:p>
              </w:tc>
              <w:tc>
                <w:tcPr>
                  <w:tcW w:w="1425" w:type="dxa"/>
                  <w:vAlign w:val="center"/>
                </w:tcPr>
                <w:p>
                  <w:pPr>
                    <w:widowControl/>
                    <w:jc w:val="center"/>
                    <w:textAlignment w:val="center"/>
                    <w:rPr>
                      <w:sz w:val="21"/>
                      <w:szCs w:val="21"/>
                    </w:rPr>
                  </w:pPr>
                  <w:r>
                    <w:rPr>
                      <w:color w:val="000000"/>
                      <w:kern w:val="0"/>
                      <w:sz w:val="21"/>
                      <w:szCs w:val="21"/>
                    </w:rPr>
                    <w:t>25.55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排放量（t/a）</w:t>
                  </w:r>
                </w:p>
              </w:tc>
              <w:tc>
                <w:tcPr>
                  <w:tcW w:w="1291" w:type="dxa"/>
                  <w:vAlign w:val="center"/>
                </w:tcPr>
                <w:p>
                  <w:pPr>
                    <w:widowControl/>
                    <w:jc w:val="center"/>
                    <w:textAlignment w:val="center"/>
                    <w:rPr>
                      <w:sz w:val="21"/>
                      <w:szCs w:val="21"/>
                    </w:rPr>
                  </w:pPr>
                  <w:r>
                    <w:rPr>
                      <w:color w:val="000000"/>
                      <w:kern w:val="0"/>
                      <w:sz w:val="21"/>
                      <w:szCs w:val="21"/>
                    </w:rPr>
                    <w:t>204.4</w:t>
                  </w:r>
                </w:p>
              </w:tc>
              <w:tc>
                <w:tcPr>
                  <w:tcW w:w="1425" w:type="dxa"/>
                  <w:vAlign w:val="center"/>
                </w:tcPr>
                <w:p>
                  <w:pPr>
                    <w:widowControl/>
                    <w:jc w:val="center"/>
                    <w:textAlignment w:val="center"/>
                    <w:rPr>
                      <w:sz w:val="21"/>
                      <w:szCs w:val="21"/>
                    </w:rPr>
                  </w:pPr>
                  <w:r>
                    <w:rPr>
                      <w:color w:val="000000"/>
                      <w:kern w:val="0"/>
                      <w:sz w:val="21"/>
                      <w:szCs w:val="21"/>
                    </w:rPr>
                    <w:t>25.55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2.19</w:t>
                  </w:r>
                </w:p>
              </w:tc>
            </w:tr>
          </w:tbl>
          <w:p>
            <w:pPr>
              <w:adjustRightInd w:val="0"/>
              <w:snapToGrid w:val="0"/>
              <w:spacing w:beforeLines="50" w:line="360" w:lineRule="auto"/>
              <w:ind w:firstLine="482" w:firstLineChars="200"/>
              <w:rPr>
                <w:b/>
                <w:bCs/>
              </w:rPr>
            </w:pPr>
            <w:r>
              <w:rPr>
                <w:rFonts w:hint="eastAsia"/>
                <w:b/>
                <w:bCs/>
              </w:rPr>
              <w:t>2）右所污水处理厂</w:t>
            </w:r>
          </w:p>
          <w:p>
            <w:pPr>
              <w:spacing w:line="360" w:lineRule="auto"/>
              <w:ind w:firstLine="480" w:firstLineChars="200"/>
            </w:pPr>
            <w:r>
              <w:rPr>
                <w:rFonts w:hint="eastAsia"/>
              </w:rPr>
              <w:t>①正常工况源强</w:t>
            </w:r>
          </w:p>
          <w:p>
            <w:pPr>
              <w:spacing w:line="360" w:lineRule="auto"/>
              <w:ind w:firstLine="480" w:firstLineChars="200"/>
            </w:pPr>
            <w:r>
              <w:rPr>
                <w:rFonts w:hint="eastAsia"/>
              </w:rPr>
              <w:t>项目右所污水厂设计处理规模为1000m</w:t>
            </w:r>
            <w:r>
              <w:rPr>
                <w:rFonts w:hint="eastAsia"/>
                <w:vertAlign w:val="superscript"/>
              </w:rPr>
              <w:t>3</w:t>
            </w:r>
            <w:r>
              <w:rPr>
                <w:rFonts w:hint="eastAsia"/>
              </w:rPr>
              <w:t>/d，收集的生活污水处理达达地表水Ⅳ类水质（总氮除外）后</w:t>
            </w:r>
            <w:r>
              <w:t>，</w:t>
            </w:r>
            <w:r>
              <w:rPr>
                <w:rFonts w:hint="eastAsia"/>
              </w:rPr>
              <w:t>进入人工湿地。右所</w:t>
            </w:r>
            <w:r>
              <w:rPr>
                <w:rFonts w:hint="eastAsia" w:hAnsi="宋体"/>
              </w:rPr>
              <w:t>污水处理厂的</w:t>
            </w:r>
            <w:r>
              <w:rPr>
                <w:rFonts w:hint="eastAsia"/>
              </w:rPr>
              <w:t>水污染物产生及排放情况见下表：</w:t>
            </w:r>
          </w:p>
          <w:p>
            <w:pPr>
              <w:spacing w:line="360" w:lineRule="auto"/>
              <w:jc w:val="center"/>
              <w:rPr>
                <w:b/>
                <w:sz w:val="21"/>
                <w:szCs w:val="13"/>
              </w:rPr>
            </w:pPr>
            <w:r>
              <w:rPr>
                <w:b/>
                <w:sz w:val="21"/>
                <w:szCs w:val="13"/>
              </w:rPr>
              <w:t>表5-</w:t>
            </w:r>
            <w:r>
              <w:rPr>
                <w:rFonts w:hint="eastAsia"/>
                <w:b/>
                <w:sz w:val="21"/>
                <w:szCs w:val="13"/>
              </w:rPr>
              <w:t>9</w:t>
            </w:r>
            <w:r>
              <w:rPr>
                <w:b/>
                <w:sz w:val="21"/>
                <w:szCs w:val="13"/>
              </w:rPr>
              <w:t xml:space="preserve">  </w:t>
            </w:r>
            <w:r>
              <w:rPr>
                <w:rFonts w:hint="eastAsia"/>
                <w:b/>
                <w:sz w:val="21"/>
                <w:szCs w:val="13"/>
              </w:rPr>
              <w:t>正常工况下右所</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30</w:t>
                  </w:r>
                </w:p>
              </w:tc>
              <w:tc>
                <w:tcPr>
                  <w:tcW w:w="1425" w:type="dxa"/>
                  <w:vAlign w:val="center"/>
                </w:tcPr>
                <w:p>
                  <w:pPr>
                    <w:widowControl/>
                    <w:jc w:val="center"/>
                    <w:textAlignment w:val="center"/>
                    <w:rPr>
                      <w:sz w:val="21"/>
                      <w:szCs w:val="21"/>
                    </w:rPr>
                  </w:pPr>
                  <w:r>
                    <w:rPr>
                      <w:color w:val="000000"/>
                      <w:kern w:val="0"/>
                      <w:sz w:val="21"/>
                      <w:szCs w:val="21"/>
                    </w:rPr>
                    <w:t>15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10.95</w:t>
                  </w:r>
                </w:p>
              </w:tc>
              <w:tc>
                <w:tcPr>
                  <w:tcW w:w="1425" w:type="dxa"/>
                  <w:vAlign w:val="center"/>
                </w:tcPr>
                <w:p>
                  <w:pPr>
                    <w:widowControl/>
                    <w:jc w:val="center"/>
                    <w:textAlignment w:val="center"/>
                    <w:rPr>
                      <w:sz w:val="21"/>
                      <w:szCs w:val="21"/>
                    </w:rPr>
                  </w:pPr>
                  <w:r>
                    <w:rPr>
                      <w:color w:val="000000"/>
                      <w:kern w:val="0"/>
                      <w:sz w:val="21"/>
                      <w:szCs w:val="21"/>
                    </w:rPr>
                    <w:t>5.475</w:t>
                  </w:r>
                </w:p>
              </w:tc>
              <w:tc>
                <w:tcPr>
                  <w:tcW w:w="1519" w:type="dxa"/>
                  <w:vAlign w:val="center"/>
                </w:tcPr>
                <w:p>
                  <w:pPr>
                    <w:widowControl/>
                    <w:jc w:val="center"/>
                    <w:textAlignment w:val="center"/>
                    <w:rPr>
                      <w:sz w:val="21"/>
                      <w:szCs w:val="21"/>
                    </w:rPr>
                  </w:pPr>
                  <w:r>
                    <w:rPr>
                      <w:color w:val="000000"/>
                      <w:kern w:val="0"/>
                      <w:sz w:val="21"/>
                      <w:szCs w:val="21"/>
                    </w:rPr>
                    <w:t>0.5475</w:t>
                  </w:r>
                </w:p>
              </w:tc>
              <w:tc>
                <w:tcPr>
                  <w:tcW w:w="1355" w:type="dxa"/>
                  <w:vAlign w:val="center"/>
                </w:tcPr>
                <w:p>
                  <w:pPr>
                    <w:widowControl/>
                    <w:jc w:val="center"/>
                    <w:textAlignment w:val="center"/>
                    <w:rPr>
                      <w:sz w:val="21"/>
                      <w:szCs w:val="21"/>
                    </w:rPr>
                  </w:pPr>
                  <w:r>
                    <w:rPr>
                      <w:color w:val="000000"/>
                      <w:kern w:val="0"/>
                      <w:sz w:val="21"/>
                      <w:szCs w:val="21"/>
                    </w:rPr>
                    <w:t>0.1095</w:t>
                  </w:r>
                </w:p>
              </w:tc>
            </w:tr>
          </w:tbl>
          <w:p>
            <w:pPr>
              <w:adjustRightInd w:val="0"/>
              <w:snapToGrid w:val="0"/>
              <w:spacing w:beforeLines="50" w:line="360" w:lineRule="auto"/>
              <w:ind w:firstLine="480" w:firstLineChars="200"/>
            </w:pPr>
            <w:r>
              <w:rPr>
                <w:rFonts w:hint="eastAsia"/>
              </w:rPr>
              <w:t>②非正常工况源强</w:t>
            </w:r>
          </w:p>
          <w:p>
            <w:pPr>
              <w:adjustRightInd w:val="0"/>
              <w:snapToGrid w:val="0"/>
              <w:spacing w:line="360" w:lineRule="auto"/>
              <w:ind w:firstLine="480" w:firstLineChars="200"/>
            </w:pPr>
            <w:r>
              <w:rPr>
                <w:rFonts w:hint="eastAsia"/>
              </w:rPr>
              <w:t>废水非正常工况排放主要包括设备故障或检修时排放、双电源事故排放等，其中双电源事故时，所有动力设备、建构筑均不能正常运行，所有废水未经处理直接排放时影响最大。本评价废水非正常工况以污水处理站发生双电源同时停电事故，所有污染物未经处理直接进入人工湿地的最大不利影响计。非正常工况废水排放源强见下表：</w:t>
            </w:r>
          </w:p>
          <w:p>
            <w:pPr>
              <w:adjustRightInd w:val="0"/>
              <w:snapToGrid w:val="0"/>
              <w:spacing w:line="360" w:lineRule="auto"/>
              <w:jc w:val="center"/>
              <w:rPr>
                <w:b/>
                <w:sz w:val="21"/>
                <w:szCs w:val="13"/>
              </w:rPr>
            </w:pPr>
            <w:r>
              <w:rPr>
                <w:b/>
                <w:sz w:val="21"/>
                <w:szCs w:val="13"/>
              </w:rPr>
              <w:t>表5-</w:t>
            </w:r>
            <w:r>
              <w:rPr>
                <w:rFonts w:hint="eastAsia"/>
                <w:b/>
                <w:sz w:val="21"/>
                <w:szCs w:val="13"/>
              </w:rPr>
              <w:t>10</w:t>
            </w:r>
            <w:r>
              <w:rPr>
                <w:b/>
                <w:sz w:val="21"/>
                <w:szCs w:val="13"/>
              </w:rPr>
              <w:t xml:space="preserve">  </w:t>
            </w:r>
            <w:r>
              <w:rPr>
                <w:rFonts w:hint="eastAsia"/>
                <w:b/>
                <w:sz w:val="21"/>
                <w:szCs w:val="13"/>
              </w:rPr>
              <w:t>非正常工况下右所</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bl>
          <w:p>
            <w:pPr>
              <w:adjustRightInd w:val="0"/>
              <w:snapToGrid w:val="0"/>
              <w:spacing w:beforeLines="50" w:line="360" w:lineRule="auto"/>
              <w:ind w:firstLine="482" w:firstLineChars="200"/>
              <w:rPr>
                <w:b/>
                <w:bCs/>
              </w:rPr>
            </w:pPr>
            <w:r>
              <w:rPr>
                <w:rFonts w:hint="eastAsia"/>
                <w:b/>
                <w:bCs/>
              </w:rPr>
              <w:t>3）牛街污水处理厂</w:t>
            </w:r>
          </w:p>
          <w:p>
            <w:pPr>
              <w:adjustRightInd w:val="0"/>
              <w:snapToGrid w:val="0"/>
              <w:spacing w:line="360" w:lineRule="auto"/>
              <w:ind w:firstLine="480" w:firstLineChars="200"/>
            </w:pPr>
            <w:r>
              <w:rPr>
                <w:rFonts w:hint="eastAsia"/>
              </w:rPr>
              <w:t>①正常工况源强</w:t>
            </w:r>
          </w:p>
          <w:p>
            <w:pPr>
              <w:adjustRightInd w:val="0"/>
              <w:snapToGrid w:val="0"/>
              <w:spacing w:line="360" w:lineRule="auto"/>
              <w:ind w:firstLine="480" w:firstLineChars="200"/>
            </w:pPr>
            <w:r>
              <w:rPr>
                <w:rFonts w:hint="eastAsia"/>
              </w:rPr>
              <w:t>项目牛街污水厂设计处理规模为1000m</w:t>
            </w:r>
            <w:r>
              <w:rPr>
                <w:rFonts w:hint="eastAsia"/>
                <w:vertAlign w:val="superscript"/>
              </w:rPr>
              <w:t>3</w:t>
            </w:r>
            <w:r>
              <w:rPr>
                <w:rFonts w:hint="eastAsia"/>
              </w:rPr>
              <w:t>/d，收集的生活污水处理达地表水Ⅳ类水质（总氮除外）后</w:t>
            </w:r>
            <w:r>
              <w:t>，</w:t>
            </w:r>
            <w:r>
              <w:rPr>
                <w:rFonts w:hint="eastAsia"/>
              </w:rPr>
              <w:t>进入人工湿地。由于本项目属于“未批先建”，牛街</w:t>
            </w:r>
            <w:r>
              <w:rPr>
                <w:rFonts w:hint="eastAsia" w:hAnsi="宋体"/>
              </w:rPr>
              <w:t>污水处理厂的</w:t>
            </w:r>
            <w:r>
              <w:rPr>
                <w:rFonts w:hint="eastAsia"/>
              </w:rPr>
              <w:t>水污染物产生及排放情况见下表：</w:t>
            </w:r>
          </w:p>
          <w:p>
            <w:pPr>
              <w:spacing w:line="360" w:lineRule="auto"/>
              <w:jc w:val="center"/>
              <w:rPr>
                <w:b/>
                <w:sz w:val="21"/>
                <w:szCs w:val="13"/>
              </w:rPr>
            </w:pPr>
            <w:r>
              <w:rPr>
                <w:b/>
                <w:sz w:val="21"/>
                <w:szCs w:val="13"/>
              </w:rPr>
              <w:t>表5-</w:t>
            </w:r>
            <w:r>
              <w:rPr>
                <w:rFonts w:hint="eastAsia"/>
                <w:b/>
                <w:sz w:val="21"/>
                <w:szCs w:val="13"/>
              </w:rPr>
              <w:t>11</w:t>
            </w:r>
            <w:r>
              <w:rPr>
                <w:b/>
                <w:sz w:val="21"/>
                <w:szCs w:val="13"/>
              </w:rPr>
              <w:t xml:space="preserve">  </w:t>
            </w:r>
            <w:r>
              <w:rPr>
                <w:rFonts w:hint="eastAsia"/>
                <w:b/>
                <w:sz w:val="21"/>
                <w:szCs w:val="13"/>
              </w:rPr>
              <w:t>正常工况下牛街</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30</w:t>
                  </w:r>
                </w:p>
              </w:tc>
              <w:tc>
                <w:tcPr>
                  <w:tcW w:w="1425" w:type="dxa"/>
                  <w:vAlign w:val="center"/>
                </w:tcPr>
                <w:p>
                  <w:pPr>
                    <w:widowControl/>
                    <w:jc w:val="center"/>
                    <w:textAlignment w:val="center"/>
                    <w:rPr>
                      <w:sz w:val="21"/>
                      <w:szCs w:val="21"/>
                    </w:rPr>
                  </w:pPr>
                  <w:r>
                    <w:rPr>
                      <w:color w:val="000000"/>
                      <w:kern w:val="0"/>
                      <w:sz w:val="21"/>
                      <w:szCs w:val="21"/>
                    </w:rPr>
                    <w:t>15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10.95</w:t>
                  </w:r>
                </w:p>
              </w:tc>
              <w:tc>
                <w:tcPr>
                  <w:tcW w:w="1425" w:type="dxa"/>
                  <w:vAlign w:val="center"/>
                </w:tcPr>
                <w:p>
                  <w:pPr>
                    <w:widowControl/>
                    <w:jc w:val="center"/>
                    <w:textAlignment w:val="center"/>
                    <w:rPr>
                      <w:sz w:val="21"/>
                      <w:szCs w:val="21"/>
                    </w:rPr>
                  </w:pPr>
                  <w:r>
                    <w:rPr>
                      <w:color w:val="000000"/>
                      <w:kern w:val="0"/>
                      <w:sz w:val="21"/>
                      <w:szCs w:val="21"/>
                    </w:rPr>
                    <w:t>5.475</w:t>
                  </w:r>
                </w:p>
              </w:tc>
              <w:tc>
                <w:tcPr>
                  <w:tcW w:w="1519" w:type="dxa"/>
                  <w:vAlign w:val="center"/>
                </w:tcPr>
                <w:p>
                  <w:pPr>
                    <w:widowControl/>
                    <w:jc w:val="center"/>
                    <w:textAlignment w:val="center"/>
                    <w:rPr>
                      <w:sz w:val="21"/>
                      <w:szCs w:val="21"/>
                    </w:rPr>
                  </w:pPr>
                  <w:r>
                    <w:rPr>
                      <w:color w:val="000000"/>
                      <w:kern w:val="0"/>
                      <w:sz w:val="21"/>
                      <w:szCs w:val="21"/>
                    </w:rPr>
                    <w:t>0.5475</w:t>
                  </w:r>
                </w:p>
              </w:tc>
              <w:tc>
                <w:tcPr>
                  <w:tcW w:w="1355" w:type="dxa"/>
                  <w:vAlign w:val="center"/>
                </w:tcPr>
                <w:p>
                  <w:pPr>
                    <w:widowControl/>
                    <w:jc w:val="center"/>
                    <w:textAlignment w:val="center"/>
                    <w:rPr>
                      <w:sz w:val="21"/>
                      <w:szCs w:val="21"/>
                    </w:rPr>
                  </w:pPr>
                  <w:r>
                    <w:rPr>
                      <w:color w:val="000000"/>
                      <w:kern w:val="0"/>
                      <w:sz w:val="21"/>
                      <w:szCs w:val="21"/>
                    </w:rPr>
                    <w:t>0.1095</w:t>
                  </w:r>
                </w:p>
              </w:tc>
            </w:tr>
          </w:tbl>
          <w:p>
            <w:pPr>
              <w:adjustRightInd w:val="0"/>
              <w:snapToGrid w:val="0"/>
              <w:spacing w:beforeLines="50" w:line="360" w:lineRule="auto"/>
              <w:ind w:firstLine="480" w:firstLineChars="200"/>
            </w:pPr>
            <w:r>
              <w:rPr>
                <w:rFonts w:hint="eastAsia"/>
              </w:rPr>
              <w:t>②非正常工况源强</w:t>
            </w:r>
          </w:p>
          <w:p>
            <w:pPr>
              <w:adjustRightInd w:val="0"/>
              <w:snapToGrid w:val="0"/>
              <w:spacing w:line="360" w:lineRule="auto"/>
              <w:ind w:firstLine="480" w:firstLineChars="200"/>
            </w:pPr>
            <w:r>
              <w:rPr>
                <w:rFonts w:hint="eastAsia"/>
              </w:rPr>
              <w:t>废水非正常工况排放主要包括设备故障或检修时排放、双电源事故排放等，其中双电源事故时，所有动力设备、建构筑均不能正常运行，所有废水未经处理直接排放时影响最大。本评价废水非正常工况以污水处理站发生双电源同时停电事故，所有污染物未经处理直接进入人工湿地的最大不利影响计。非正常工况废水排放源强见下表：</w:t>
            </w:r>
          </w:p>
          <w:p>
            <w:pPr>
              <w:adjustRightInd w:val="0"/>
              <w:snapToGrid w:val="0"/>
              <w:spacing w:line="360" w:lineRule="auto"/>
              <w:jc w:val="center"/>
              <w:rPr>
                <w:b/>
                <w:sz w:val="21"/>
                <w:szCs w:val="13"/>
              </w:rPr>
            </w:pPr>
            <w:r>
              <w:rPr>
                <w:b/>
                <w:sz w:val="21"/>
                <w:szCs w:val="13"/>
              </w:rPr>
              <w:t>表5-</w:t>
            </w:r>
            <w:r>
              <w:rPr>
                <w:rFonts w:hint="eastAsia"/>
                <w:b/>
                <w:sz w:val="21"/>
                <w:szCs w:val="13"/>
              </w:rPr>
              <w:t>12</w:t>
            </w:r>
            <w:r>
              <w:rPr>
                <w:b/>
                <w:sz w:val="21"/>
                <w:szCs w:val="13"/>
              </w:rPr>
              <w:t xml:space="preserve">  </w:t>
            </w:r>
            <w:r>
              <w:rPr>
                <w:rFonts w:hint="eastAsia"/>
                <w:b/>
                <w:sz w:val="21"/>
                <w:szCs w:val="13"/>
              </w:rPr>
              <w:t>非正常工况下牛街</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bl>
          <w:p>
            <w:pPr>
              <w:adjustRightInd w:val="0"/>
              <w:snapToGrid w:val="0"/>
              <w:spacing w:beforeLines="50" w:line="360" w:lineRule="auto"/>
              <w:ind w:firstLine="482" w:firstLineChars="200"/>
              <w:rPr>
                <w:b/>
              </w:rPr>
            </w:pPr>
            <w:r>
              <w:rPr>
                <w:rFonts w:hint="eastAsia"/>
                <w:b/>
              </w:rPr>
              <w:t>4）生活污水</w:t>
            </w:r>
          </w:p>
          <w:p>
            <w:pPr>
              <w:adjustRightInd w:val="0"/>
              <w:snapToGrid w:val="0"/>
              <w:spacing w:line="360" w:lineRule="auto"/>
              <w:ind w:firstLine="480" w:firstLineChars="200"/>
              <w:rPr>
                <w:bCs/>
              </w:rPr>
            </w:pPr>
            <w:r>
              <w:rPr>
                <w:rFonts w:hint="eastAsia"/>
                <w:szCs w:val="24"/>
              </w:rPr>
              <w:t>根据本项目的实际情况，邓川、右所污水厂提标改造后，均不增加管理人员。牛街污水厂新建后，将</w:t>
            </w:r>
            <w:r>
              <w:rPr>
                <w:rFonts w:hint="eastAsia"/>
                <w:bCs/>
              </w:rPr>
              <w:t>配备3个管理人员，厂区均不设置员工食堂，项目员工日常生活产生的盥洗等污水经化粪池收集处理后，排入污水处理厂内的格栅工段，与来水一起进入污水处理工艺进行处理。</w:t>
            </w:r>
          </w:p>
          <w:p>
            <w:pPr>
              <w:adjustRightInd w:val="0"/>
              <w:snapToGrid w:val="0"/>
              <w:spacing w:line="360" w:lineRule="auto"/>
              <w:ind w:firstLine="482" w:firstLineChars="200"/>
              <w:rPr>
                <w:b/>
              </w:rPr>
            </w:pPr>
            <w:r>
              <w:rPr>
                <w:rFonts w:hint="eastAsia"/>
                <w:b/>
              </w:rPr>
              <w:t>（3）噪声</w:t>
            </w:r>
          </w:p>
          <w:p>
            <w:pPr>
              <w:adjustRightInd w:val="0"/>
              <w:snapToGrid w:val="0"/>
              <w:spacing w:line="360" w:lineRule="auto"/>
              <w:ind w:firstLine="480" w:firstLineChars="200"/>
              <w:rPr>
                <w:rFonts w:hAnsi="宋体"/>
              </w:rPr>
            </w:pPr>
            <w:r>
              <w:rPr>
                <w:rFonts w:hint="eastAsia"/>
                <w:bCs/>
              </w:rPr>
              <w:t>营运期间产生的噪声主要</w:t>
            </w:r>
            <w:r>
              <w:rPr>
                <w:bCs/>
              </w:rPr>
              <w:t>来</w:t>
            </w:r>
            <w:r>
              <w:rPr>
                <w:rFonts w:hint="eastAsia"/>
                <w:bCs/>
              </w:rPr>
              <w:t>自污水处理厂内的鼓风机、提升泵、</w:t>
            </w:r>
            <w:r>
              <w:rPr>
                <w:rFonts w:hint="eastAsia"/>
              </w:rPr>
              <w:t>污泥回流泵、污泥脱水机</w:t>
            </w:r>
            <w:r>
              <w:rPr>
                <w:rFonts w:hint="eastAsia"/>
                <w:bCs/>
              </w:rPr>
              <w:t>等设备，噪声值在65~85dB（A）之间。各设备的</w:t>
            </w:r>
            <w:r>
              <w:rPr>
                <w:rFonts w:hint="eastAsia"/>
              </w:rPr>
              <w:t>噪声声压级见下表：</w:t>
            </w:r>
          </w:p>
          <w:p>
            <w:pPr>
              <w:adjustRightInd w:val="0"/>
              <w:snapToGrid w:val="0"/>
              <w:spacing w:line="360" w:lineRule="auto"/>
              <w:ind w:firstLine="422" w:firstLineChars="200"/>
              <w:jc w:val="center"/>
              <w:rPr>
                <w:bCs/>
                <w:sz w:val="21"/>
                <w:szCs w:val="21"/>
              </w:rPr>
            </w:pPr>
            <w:r>
              <w:rPr>
                <w:b/>
                <w:sz w:val="21"/>
                <w:szCs w:val="21"/>
              </w:rPr>
              <w:t>表5-1</w:t>
            </w:r>
            <w:r>
              <w:rPr>
                <w:rFonts w:hint="eastAsia"/>
                <w:b/>
                <w:sz w:val="21"/>
                <w:szCs w:val="21"/>
              </w:rPr>
              <w:t>3</w:t>
            </w:r>
            <w:r>
              <w:rPr>
                <w:b/>
                <w:sz w:val="21"/>
                <w:szCs w:val="21"/>
              </w:rPr>
              <w:t xml:space="preserve">  噪声</w:t>
            </w:r>
            <w:r>
              <w:rPr>
                <w:b/>
                <w:bCs/>
                <w:sz w:val="21"/>
                <w:szCs w:val="21"/>
              </w:rPr>
              <w:t>声压级一览表</w:t>
            </w:r>
            <w:r>
              <w:rPr>
                <w:rFonts w:hint="eastAsia"/>
                <w:b/>
                <w:bCs/>
                <w:sz w:val="21"/>
                <w:szCs w:val="21"/>
              </w:rPr>
              <w:t xml:space="preserve">  单位：</w:t>
            </w:r>
            <w:r>
              <w:rPr>
                <w:b/>
                <w:sz w:val="21"/>
                <w:szCs w:val="21"/>
              </w:rPr>
              <w:t>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927"/>
              <w:gridCol w:w="1788"/>
              <w:gridCol w:w="1938"/>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Align w:val="center"/>
                </w:tcPr>
                <w:p>
                  <w:pPr>
                    <w:pStyle w:val="95"/>
                    <w:adjustRightInd w:val="0"/>
                    <w:snapToGrid w:val="0"/>
                    <w:spacing w:before="0" w:after="0" w:line="240" w:lineRule="auto"/>
                    <w:jc w:val="center"/>
                    <w:rPr>
                      <w:b/>
                      <w:sz w:val="21"/>
                      <w:szCs w:val="21"/>
                    </w:rPr>
                  </w:pPr>
                  <w:r>
                    <w:rPr>
                      <w:rFonts w:hint="eastAsia"/>
                      <w:b/>
                      <w:sz w:val="21"/>
                      <w:szCs w:val="21"/>
                    </w:rPr>
                    <w:t>位置</w:t>
                  </w:r>
                </w:p>
              </w:tc>
              <w:tc>
                <w:tcPr>
                  <w:tcW w:w="1927" w:type="dxa"/>
                  <w:vAlign w:val="center"/>
                </w:tcPr>
                <w:p>
                  <w:pPr>
                    <w:rPr>
                      <w:b/>
                      <w:sz w:val="21"/>
                      <w:szCs w:val="21"/>
                    </w:rPr>
                  </w:pPr>
                  <w:r>
                    <w:rPr>
                      <w:b/>
                      <w:sz w:val="21"/>
                      <w:szCs w:val="21"/>
                    </w:rPr>
                    <w:t>设备名称</w:t>
                  </w:r>
                </w:p>
              </w:tc>
              <w:tc>
                <w:tcPr>
                  <w:tcW w:w="1788" w:type="dxa"/>
                  <w:vAlign w:val="center"/>
                </w:tcPr>
                <w:p>
                  <w:pPr>
                    <w:jc w:val="center"/>
                    <w:rPr>
                      <w:b/>
                      <w:sz w:val="21"/>
                      <w:szCs w:val="21"/>
                    </w:rPr>
                  </w:pPr>
                  <w:r>
                    <w:rPr>
                      <w:b/>
                      <w:sz w:val="21"/>
                      <w:szCs w:val="21"/>
                    </w:rPr>
                    <w:t>数量</w:t>
                  </w:r>
                </w:p>
              </w:tc>
              <w:tc>
                <w:tcPr>
                  <w:tcW w:w="1938" w:type="dxa"/>
                  <w:vAlign w:val="center"/>
                </w:tcPr>
                <w:p>
                  <w:pPr>
                    <w:jc w:val="center"/>
                    <w:rPr>
                      <w:b/>
                      <w:sz w:val="21"/>
                      <w:szCs w:val="21"/>
                    </w:rPr>
                  </w:pPr>
                  <w:r>
                    <w:rPr>
                      <w:b/>
                      <w:sz w:val="21"/>
                      <w:szCs w:val="21"/>
                    </w:rPr>
                    <w:t>单台设备噪声声级</w:t>
                  </w:r>
                </w:p>
              </w:tc>
              <w:tc>
                <w:tcPr>
                  <w:tcW w:w="1475" w:type="dxa"/>
                  <w:vAlign w:val="center"/>
                </w:tcPr>
                <w:p>
                  <w:pPr>
                    <w:jc w:val="center"/>
                    <w:rPr>
                      <w:b/>
                      <w:sz w:val="21"/>
                      <w:szCs w:val="21"/>
                    </w:rPr>
                  </w:pPr>
                  <w:r>
                    <w:rPr>
                      <w:rFonts w:hint="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restart"/>
                  <w:vAlign w:val="center"/>
                </w:tcPr>
                <w:p>
                  <w:pPr>
                    <w:jc w:val="center"/>
                    <w:rPr>
                      <w:sz w:val="21"/>
                      <w:szCs w:val="21"/>
                    </w:rPr>
                  </w:pPr>
                  <w:r>
                    <w:rPr>
                      <w:rFonts w:hint="eastAsia"/>
                      <w:sz w:val="21"/>
                      <w:szCs w:val="21"/>
                    </w:rPr>
                    <w:t>邓川污水厂</w:t>
                  </w:r>
                </w:p>
              </w:tc>
              <w:tc>
                <w:tcPr>
                  <w:tcW w:w="1927" w:type="dxa"/>
                  <w:vAlign w:val="center"/>
                </w:tcPr>
                <w:p>
                  <w:pPr>
                    <w:jc w:val="center"/>
                    <w:rPr>
                      <w:sz w:val="21"/>
                      <w:szCs w:val="21"/>
                    </w:rPr>
                  </w:pPr>
                  <w:r>
                    <w:rPr>
                      <w:rFonts w:hint="eastAsia"/>
                      <w:sz w:val="21"/>
                      <w:szCs w:val="21"/>
                    </w:rPr>
                    <w:t>一级提升泵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二级提升泵</w:t>
                  </w:r>
                </w:p>
              </w:tc>
              <w:tc>
                <w:tcPr>
                  <w:tcW w:w="1788" w:type="dxa"/>
                  <w:vAlign w:val="center"/>
                </w:tcPr>
                <w:p>
                  <w:pPr>
                    <w:jc w:val="center"/>
                    <w:rPr>
                      <w:sz w:val="21"/>
                      <w:szCs w:val="21"/>
                    </w:rPr>
                  </w:pPr>
                  <w:r>
                    <w:rPr>
                      <w:sz w:val="21"/>
                      <w:szCs w:val="21"/>
                    </w:rPr>
                    <w:t>2（1用1备）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污泥回流泵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75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鼓风机</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脱水机</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restart"/>
                  <w:vAlign w:val="center"/>
                </w:tcPr>
                <w:p>
                  <w:pPr>
                    <w:jc w:val="center"/>
                    <w:rPr>
                      <w:sz w:val="21"/>
                      <w:szCs w:val="21"/>
                    </w:rPr>
                  </w:pPr>
                  <w:r>
                    <w:rPr>
                      <w:rFonts w:hint="eastAsia"/>
                      <w:sz w:val="21"/>
                      <w:szCs w:val="21"/>
                    </w:rPr>
                    <w:t>右所污水厂</w:t>
                  </w:r>
                </w:p>
              </w:tc>
              <w:tc>
                <w:tcPr>
                  <w:tcW w:w="1927" w:type="dxa"/>
                  <w:vAlign w:val="center"/>
                </w:tcPr>
                <w:p>
                  <w:pPr>
                    <w:jc w:val="center"/>
                    <w:rPr>
                      <w:sz w:val="21"/>
                      <w:szCs w:val="21"/>
                    </w:rPr>
                  </w:pPr>
                  <w:r>
                    <w:rPr>
                      <w:rFonts w:hint="eastAsia"/>
                      <w:sz w:val="21"/>
                      <w:szCs w:val="21"/>
                    </w:rPr>
                    <w:t>潜污泵</w:t>
                  </w:r>
                </w:p>
              </w:tc>
              <w:tc>
                <w:tcPr>
                  <w:tcW w:w="1788" w:type="dxa"/>
                  <w:vAlign w:val="center"/>
                </w:tcPr>
                <w:p>
                  <w:pPr>
                    <w:jc w:val="center"/>
                    <w:rPr>
                      <w:sz w:val="21"/>
                      <w:szCs w:val="21"/>
                    </w:rPr>
                  </w:pPr>
                  <w:r>
                    <w:rPr>
                      <w:rFonts w:hint="eastAsia"/>
                      <w:sz w:val="21"/>
                      <w:szCs w:val="21"/>
                    </w:rPr>
                    <w:t>2</w:t>
                  </w:r>
                  <w:r>
                    <w:rPr>
                      <w:sz w:val="21"/>
                      <w:szCs w:val="21"/>
                    </w:rPr>
                    <w:t>（1用1备）</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污泥回流泵</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用1备）</w:t>
                  </w:r>
                </w:p>
              </w:tc>
              <w:tc>
                <w:tcPr>
                  <w:tcW w:w="1938" w:type="dxa"/>
                  <w:vAlign w:val="center"/>
                </w:tcPr>
                <w:p>
                  <w:pPr>
                    <w:jc w:val="center"/>
                    <w:rPr>
                      <w:sz w:val="21"/>
                      <w:szCs w:val="21"/>
                    </w:rPr>
                  </w:pPr>
                  <w:r>
                    <w:rPr>
                      <w:rFonts w:hint="eastAsia"/>
                      <w:sz w:val="21"/>
                      <w:szCs w:val="21"/>
                    </w:rPr>
                    <w:t>75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鼓风机</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脱水机</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restart"/>
                  <w:vAlign w:val="center"/>
                </w:tcPr>
                <w:p>
                  <w:pPr>
                    <w:jc w:val="center"/>
                    <w:rPr>
                      <w:sz w:val="21"/>
                      <w:szCs w:val="21"/>
                    </w:rPr>
                  </w:pPr>
                  <w:r>
                    <w:rPr>
                      <w:rFonts w:hint="eastAsia"/>
                      <w:sz w:val="21"/>
                      <w:szCs w:val="21"/>
                    </w:rPr>
                    <w:t>牛街污水厂</w:t>
                  </w:r>
                </w:p>
              </w:tc>
              <w:tc>
                <w:tcPr>
                  <w:tcW w:w="1927" w:type="dxa"/>
                  <w:vAlign w:val="center"/>
                </w:tcPr>
                <w:p>
                  <w:pPr>
                    <w:jc w:val="center"/>
                    <w:rPr>
                      <w:sz w:val="21"/>
                      <w:szCs w:val="21"/>
                    </w:rPr>
                  </w:pPr>
                  <w:r>
                    <w:rPr>
                      <w:rFonts w:hint="eastAsia"/>
                      <w:sz w:val="21"/>
                      <w:szCs w:val="21"/>
                    </w:rPr>
                    <w:t>一级提升泵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二级提升泵</w:t>
                  </w:r>
                </w:p>
              </w:tc>
              <w:tc>
                <w:tcPr>
                  <w:tcW w:w="1788" w:type="dxa"/>
                  <w:vAlign w:val="center"/>
                </w:tcPr>
                <w:p>
                  <w:pPr>
                    <w:jc w:val="center"/>
                    <w:rPr>
                      <w:sz w:val="21"/>
                      <w:szCs w:val="21"/>
                    </w:rPr>
                  </w:pPr>
                  <w:r>
                    <w:rPr>
                      <w:sz w:val="21"/>
                      <w:szCs w:val="21"/>
                    </w:rPr>
                    <w:t>2（1用1备）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潜水排砂泵</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污泥回流泵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75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鼓风机</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脱水机</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bl>
          <w:p>
            <w:pPr>
              <w:adjustRightInd w:val="0"/>
              <w:snapToGrid w:val="0"/>
              <w:spacing w:beforeLines="50" w:line="360" w:lineRule="auto"/>
              <w:ind w:firstLine="482" w:firstLineChars="200"/>
              <w:rPr>
                <w:b/>
              </w:rPr>
            </w:pPr>
            <w:r>
              <w:rPr>
                <w:rFonts w:hint="eastAsia"/>
                <w:b/>
              </w:rPr>
              <w:t>（4）固体废弃物</w:t>
            </w:r>
          </w:p>
          <w:p>
            <w:pPr>
              <w:adjustRightInd w:val="0"/>
              <w:snapToGrid w:val="0"/>
              <w:spacing w:line="360" w:lineRule="auto"/>
              <w:ind w:firstLine="480" w:firstLineChars="200"/>
              <w:rPr>
                <w:bCs/>
              </w:rPr>
            </w:pPr>
            <w:r>
              <w:rPr>
                <w:rFonts w:hint="eastAsia"/>
                <w:bCs/>
              </w:rPr>
              <w:t>项目运行期的固体废物主要是污水处理过程产生的剩余污泥、格栅渣、员工生活垃圾以及污水处理设备维护产生废机油。</w:t>
            </w:r>
          </w:p>
          <w:p>
            <w:pPr>
              <w:adjustRightInd w:val="0"/>
              <w:snapToGrid w:val="0"/>
              <w:spacing w:line="360" w:lineRule="auto"/>
              <w:ind w:firstLine="480" w:firstLineChars="200"/>
              <w:rPr>
                <w:bCs/>
              </w:rPr>
            </w:pPr>
            <w:r>
              <w:rPr>
                <w:rFonts w:hint="eastAsia"/>
                <w:bCs/>
              </w:rPr>
              <w:t>①污泥</w:t>
            </w:r>
          </w:p>
          <w:p>
            <w:pPr>
              <w:pStyle w:val="23"/>
              <w:adjustRightInd w:val="0"/>
              <w:spacing w:line="360" w:lineRule="auto"/>
              <w:ind w:firstLine="480" w:firstLineChars="200"/>
            </w:pPr>
            <w:r>
              <w:rPr>
                <w:rFonts w:hint="eastAsia"/>
                <w:bCs/>
                <w:sz w:val="24"/>
              </w:rPr>
              <w:t>项目共涉及邓川、右所、牛街3座污水处理厂，设计污水处理量分别为2000m</w:t>
            </w:r>
            <w:r>
              <w:rPr>
                <w:rFonts w:hint="eastAsia"/>
                <w:bCs/>
                <w:sz w:val="24"/>
                <w:vertAlign w:val="superscript"/>
              </w:rPr>
              <w:t>3</w:t>
            </w:r>
            <w:r>
              <w:rPr>
                <w:rFonts w:hint="eastAsia"/>
                <w:bCs/>
                <w:sz w:val="24"/>
              </w:rPr>
              <w:t>/d、1000m</w:t>
            </w:r>
            <w:r>
              <w:rPr>
                <w:rFonts w:hint="eastAsia"/>
                <w:bCs/>
                <w:sz w:val="24"/>
                <w:vertAlign w:val="superscript"/>
              </w:rPr>
              <w:t>3/</w:t>
            </w:r>
            <w:r>
              <w:rPr>
                <w:rFonts w:hint="eastAsia"/>
                <w:bCs/>
                <w:sz w:val="24"/>
              </w:rPr>
              <w:t>d、1000m</w:t>
            </w:r>
            <w:r>
              <w:rPr>
                <w:rFonts w:hint="eastAsia"/>
                <w:bCs/>
                <w:sz w:val="24"/>
                <w:vertAlign w:val="superscript"/>
              </w:rPr>
              <w:t>3</w:t>
            </w:r>
            <w:r>
              <w:rPr>
                <w:rFonts w:hint="eastAsia"/>
                <w:bCs/>
                <w:sz w:val="24"/>
              </w:rPr>
              <w:t>/d。污水处理工艺主要采用生化处理，处理过程中会产生部分剩余污泥。类比参考洱海流域内其他相同工艺、相同规模的污水处理站的运营经验统计，三座污水处理厂的污泥产生量分别为73t/a，36.5t/a，36.5t/a。因此，本项目污泥产生总量为0.4t/d，146t/a。</w:t>
            </w:r>
          </w:p>
          <w:p>
            <w:pPr>
              <w:adjustRightInd w:val="0"/>
              <w:snapToGrid w:val="0"/>
              <w:spacing w:line="360" w:lineRule="auto"/>
              <w:ind w:firstLine="480" w:firstLineChars="200"/>
              <w:rPr>
                <w:bCs/>
              </w:rPr>
            </w:pPr>
            <w:r>
              <w:rPr>
                <w:rFonts w:hint="eastAsia"/>
                <w:bCs/>
              </w:rPr>
              <w:t>②格栅渣</w:t>
            </w:r>
          </w:p>
          <w:p>
            <w:pPr>
              <w:adjustRightInd w:val="0"/>
              <w:snapToGrid w:val="0"/>
              <w:spacing w:line="360" w:lineRule="auto"/>
              <w:ind w:firstLine="480" w:firstLineChars="200"/>
              <w:rPr>
                <w:bCs/>
              </w:rPr>
            </w:pPr>
            <w:r>
              <w:rPr>
                <w:rFonts w:hint="eastAsia"/>
                <w:bCs/>
              </w:rPr>
              <w:t>城镇及村落收集的污水中往往含有大量的杂物，主要为城市漂浮垃圾、废塑料等，为了使这些杂物不进入污水处理厂损坏设备和影响污水的生化处理，需要使用多级格栅拦截杂物。根据建设单位运营经验统计，邓川、右所、牛街三座污水处理厂的格栅渣产生量分别为219t/a，109.5t/a，109.5t/a。因此，本项目栅渣产生总量为1.2t/d，438t/a。</w:t>
            </w:r>
          </w:p>
          <w:p>
            <w:pPr>
              <w:adjustRightInd w:val="0"/>
              <w:snapToGrid w:val="0"/>
              <w:spacing w:line="360" w:lineRule="auto"/>
              <w:ind w:firstLine="480" w:firstLineChars="200"/>
              <w:rPr>
                <w:bCs/>
              </w:rPr>
            </w:pPr>
            <w:r>
              <w:rPr>
                <w:rFonts w:hint="eastAsia"/>
                <w:bCs/>
              </w:rPr>
              <w:t xml:space="preserve">③生活垃圾 </w:t>
            </w:r>
          </w:p>
          <w:p>
            <w:pPr>
              <w:adjustRightInd w:val="0"/>
              <w:snapToGrid w:val="0"/>
              <w:spacing w:line="360" w:lineRule="auto"/>
              <w:ind w:firstLine="480" w:firstLineChars="200"/>
              <w:rPr>
                <w:bCs/>
              </w:rPr>
            </w:pPr>
            <w:r>
              <w:rPr>
                <w:rFonts w:hint="eastAsia"/>
                <w:bCs/>
              </w:rPr>
              <w:t>本项目每个污水处理厂平均配备3个管理人员，生活垃圾产生量较少，经垃圾桶收集后与格栅渣一起清运处置。</w:t>
            </w:r>
          </w:p>
          <w:p>
            <w:pPr>
              <w:adjustRightInd w:val="0"/>
              <w:snapToGrid w:val="0"/>
              <w:spacing w:line="360" w:lineRule="auto"/>
              <w:ind w:firstLine="480" w:firstLineChars="200"/>
              <w:rPr>
                <w:bCs/>
              </w:rPr>
            </w:pPr>
            <w:r>
              <w:rPr>
                <w:rFonts w:hint="eastAsia"/>
                <w:bCs/>
              </w:rPr>
              <w:t xml:space="preserve"> ④废机油</w:t>
            </w:r>
          </w:p>
          <w:p>
            <w:pPr>
              <w:adjustRightInd w:val="0"/>
              <w:snapToGrid w:val="0"/>
              <w:spacing w:line="360" w:lineRule="auto"/>
              <w:ind w:firstLine="480" w:firstLineChars="200"/>
            </w:pPr>
            <w:r>
              <w:rPr>
                <w:rFonts w:hint="eastAsia"/>
              </w:rPr>
              <w:t>本项目污水处理厂</w:t>
            </w:r>
            <w:r>
              <w:t>机械设备</w:t>
            </w:r>
            <w:r>
              <w:rPr>
                <w:rFonts w:hint="eastAsia"/>
              </w:rPr>
              <w:t>在</w:t>
            </w:r>
            <w:r>
              <w:t>维修养护时</w:t>
            </w:r>
            <w:r>
              <w:rPr>
                <w:rFonts w:hint="eastAsia"/>
              </w:rPr>
              <w:t>需要</w:t>
            </w:r>
            <w:r>
              <w:t>对机械润滑油进行更换，会有废机油产生</w:t>
            </w:r>
            <w:r>
              <w:rPr>
                <w:rFonts w:hint="eastAsia"/>
              </w:rPr>
              <w:t>。</w:t>
            </w:r>
            <w:r>
              <w:rPr>
                <w:rFonts w:hint="eastAsia"/>
                <w:bCs/>
              </w:rPr>
              <w:t>根据建设单位运营经验统计及原有验收报告，每座污水厂废机油</w:t>
            </w:r>
            <w:r>
              <w:t>产生量约为</w:t>
            </w:r>
            <w:r>
              <w:rPr>
                <w:rFonts w:hint="eastAsia"/>
              </w:rPr>
              <w:t>1.2t</w:t>
            </w:r>
            <w:r>
              <w:t>/a</w:t>
            </w:r>
            <w:r>
              <w:rPr>
                <w:rFonts w:hint="eastAsia"/>
              </w:rPr>
              <w:t>，三座污水厂合计3.6t</w:t>
            </w:r>
            <w:r>
              <w:t>/a。根据《国家危险废物名录》，废机油属于废矿物油与含矿物油废物中其他生产、销售、使用过程中产生的废矿物油及含矿物油废物，废物代码为900-249-08。建设单位对化废机油采用专用收集桶进行收集，暂存于危废间，委托</w:t>
            </w:r>
            <w:r>
              <w:rPr>
                <w:rFonts w:hint="eastAsia"/>
              </w:rPr>
              <w:t>有危险废物处置资质的单位</w:t>
            </w:r>
            <w:r>
              <w:t>进行处置。</w:t>
            </w:r>
          </w:p>
          <w:p>
            <w:pPr>
              <w:adjustRightInd w:val="0"/>
              <w:snapToGrid w:val="0"/>
              <w:spacing w:line="360" w:lineRule="auto"/>
              <w:ind w:firstLine="480" w:firstLineChars="200"/>
              <w:rPr>
                <w:color w:val="FF0000"/>
              </w:rPr>
            </w:pPr>
            <w:r>
              <w:rPr>
                <w:rFonts w:hint="eastAsia"/>
                <w:color w:val="FF0000"/>
              </w:rPr>
              <w:t xml:space="preserve"> ⑤在线监测废液</w:t>
            </w:r>
          </w:p>
          <w:p>
            <w:pPr>
              <w:adjustRightInd w:val="0"/>
              <w:snapToGrid w:val="0"/>
              <w:spacing w:line="360" w:lineRule="auto"/>
              <w:ind w:firstLine="480" w:firstLineChars="200"/>
              <w:rPr>
                <w:color w:val="FF0000"/>
              </w:rPr>
            </w:pPr>
            <w:r>
              <w:rPr>
                <w:rFonts w:hint="eastAsia"/>
                <w:color w:val="FF0000"/>
              </w:rPr>
              <w:t xml:space="preserve">项目三座污水处理厂均设有在线监测室，总产生量约为1.2t/a，根据《国家危险废物名录》，化验室废液属于其他废物中研究、开发和教学活动中、化学和生物实验室产生的废物，废物代码为900-047-49。项目在线监测设备均委托专业的第三方进行运营管理，产生的监测废液统一由第三方单位更换后带走后委托有资质的单位进行处置，不在项目厂区储存。 </w:t>
            </w:r>
          </w:p>
          <w:p>
            <w:pPr>
              <w:adjustRightInd w:val="0"/>
              <w:snapToGrid w:val="0"/>
              <w:spacing w:line="360" w:lineRule="auto"/>
              <w:ind w:firstLine="482" w:firstLineChars="200"/>
              <w:rPr>
                <w:b/>
                <w:szCs w:val="24"/>
              </w:rPr>
            </w:pPr>
            <w:r>
              <w:rPr>
                <w:rFonts w:hint="eastAsia"/>
                <w:b/>
                <w:szCs w:val="24"/>
              </w:rPr>
              <w:t>5、技改“三本账”分析</w:t>
            </w:r>
          </w:p>
          <w:p>
            <w:pPr>
              <w:pStyle w:val="9"/>
              <w:adjustRightInd w:val="0"/>
              <w:snapToGrid w:val="0"/>
              <w:spacing w:line="360" w:lineRule="auto"/>
              <w:ind w:firstLine="480"/>
              <w:rPr>
                <w:rFonts w:ascii="Times New Roman" w:hAnsi="Times New Roman" w:cs="Times New Roman"/>
                <w:b/>
                <w:bCs/>
                <w:sz w:val="21"/>
                <w:szCs w:val="18"/>
                <w:u w:color="000000"/>
              </w:rPr>
            </w:pPr>
            <w:r>
              <w:rPr>
                <w:rFonts w:ascii="Times New Roman" w:hAnsi="Times New Roman" w:cs="Times New Roman"/>
              </w:rPr>
              <w:t>本项目邓川、右所污水厂为提升改造，项目通过对污水处理工艺进行改造后，出水能够稳定达到</w:t>
            </w:r>
            <w:r>
              <w:rPr>
                <w:rFonts w:hint="eastAsia" w:ascii="Times New Roman" w:hAnsi="Times New Roman" w:cs="Times New Roman"/>
              </w:rPr>
              <w:t>地表水Ⅳ类水质标准要求（总氮除外）</w:t>
            </w:r>
            <w:r>
              <w:rPr>
                <w:u w:color="000000"/>
              </w:rPr>
              <w:t xml:space="preserve">。本项目技改前后污染情况变化见下表： </w:t>
            </w:r>
          </w:p>
          <w:p>
            <w:pPr>
              <w:pStyle w:val="9"/>
              <w:adjustRightInd w:val="0"/>
              <w:snapToGrid w:val="0"/>
              <w:spacing w:line="360" w:lineRule="auto"/>
              <w:ind w:firstLine="2319" w:firstLineChars="1100"/>
              <w:rPr>
                <w:rFonts w:ascii="Times New Roman" w:hAnsi="Times New Roman" w:cs="Times New Roman"/>
                <w:b/>
                <w:bCs/>
                <w:sz w:val="21"/>
                <w:szCs w:val="18"/>
                <w:u w:color="000000"/>
              </w:rPr>
            </w:pPr>
            <w:r>
              <w:rPr>
                <w:rFonts w:ascii="Times New Roman" w:hAnsi="Times New Roman" w:cs="Times New Roman"/>
                <w:b/>
                <w:bCs/>
                <w:sz w:val="21"/>
                <w:szCs w:val="18"/>
                <w:u w:color="000000"/>
              </w:rPr>
              <w:t>表5-</w:t>
            </w:r>
            <w:r>
              <w:rPr>
                <w:rFonts w:hint="eastAsia" w:ascii="Times New Roman" w:hAnsi="Times New Roman" w:cs="Times New Roman"/>
                <w:b/>
                <w:bCs/>
                <w:sz w:val="21"/>
                <w:szCs w:val="18"/>
                <w:u w:color="000000"/>
              </w:rPr>
              <w:t>1</w:t>
            </w:r>
            <w:r>
              <w:rPr>
                <w:rFonts w:ascii="Times New Roman" w:hAnsi="Times New Roman" w:cs="Times New Roman"/>
                <w:b/>
                <w:bCs/>
                <w:sz w:val="21"/>
                <w:szCs w:val="18"/>
                <w:u w:color="000000"/>
              </w:rPr>
              <w:t xml:space="preserve">4  “三本账”分析一览表 单位：t/a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680"/>
              <w:gridCol w:w="703"/>
              <w:gridCol w:w="1040"/>
              <w:gridCol w:w="794"/>
              <w:gridCol w:w="899"/>
              <w:gridCol w:w="812"/>
              <w:gridCol w:w="1187"/>
              <w:gridCol w:w="853"/>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restart"/>
                  <w:vAlign w:val="center"/>
                </w:tcPr>
                <w:p>
                  <w:pPr>
                    <w:jc w:val="center"/>
                    <w:rPr>
                      <w:b/>
                      <w:bCs/>
                      <w:sz w:val="21"/>
                      <w:szCs w:val="21"/>
                    </w:rPr>
                  </w:pPr>
                  <w:r>
                    <w:rPr>
                      <w:b/>
                      <w:bCs/>
                      <w:sz w:val="21"/>
                      <w:szCs w:val="21"/>
                    </w:rPr>
                    <w:t>项目</w:t>
                  </w:r>
                </w:p>
              </w:tc>
              <w:tc>
                <w:tcPr>
                  <w:tcW w:w="680" w:type="dxa"/>
                  <w:vMerge w:val="restart"/>
                  <w:vAlign w:val="center"/>
                </w:tcPr>
                <w:p>
                  <w:pPr>
                    <w:jc w:val="center"/>
                    <w:rPr>
                      <w:b/>
                      <w:bCs/>
                      <w:sz w:val="21"/>
                      <w:szCs w:val="21"/>
                    </w:rPr>
                  </w:pPr>
                  <w:r>
                    <w:rPr>
                      <w:b/>
                      <w:bCs/>
                      <w:sz w:val="21"/>
                      <w:szCs w:val="21"/>
                    </w:rPr>
                    <w:t>污染源</w:t>
                  </w:r>
                </w:p>
              </w:tc>
              <w:tc>
                <w:tcPr>
                  <w:tcW w:w="703" w:type="dxa"/>
                  <w:vMerge w:val="restart"/>
                  <w:vAlign w:val="center"/>
                </w:tcPr>
                <w:p>
                  <w:pPr>
                    <w:jc w:val="center"/>
                    <w:rPr>
                      <w:b/>
                      <w:bCs/>
                      <w:sz w:val="21"/>
                      <w:szCs w:val="21"/>
                    </w:rPr>
                  </w:pPr>
                </w:p>
                <w:p>
                  <w:pPr>
                    <w:jc w:val="center"/>
                    <w:rPr>
                      <w:b/>
                      <w:bCs/>
                      <w:sz w:val="21"/>
                      <w:szCs w:val="21"/>
                    </w:rPr>
                  </w:pPr>
                  <w:r>
                    <w:rPr>
                      <w:b/>
                      <w:bCs/>
                      <w:sz w:val="21"/>
                      <w:szCs w:val="21"/>
                    </w:rPr>
                    <w:t>污染物</w:t>
                  </w:r>
                </w:p>
              </w:tc>
              <w:tc>
                <w:tcPr>
                  <w:tcW w:w="1040" w:type="dxa"/>
                  <w:vAlign w:val="center"/>
                </w:tcPr>
                <w:p>
                  <w:pPr>
                    <w:jc w:val="center"/>
                    <w:rPr>
                      <w:b/>
                      <w:bCs/>
                      <w:sz w:val="21"/>
                      <w:szCs w:val="21"/>
                    </w:rPr>
                  </w:pPr>
                  <w:r>
                    <w:rPr>
                      <w:b/>
                      <w:bCs/>
                      <w:sz w:val="21"/>
                      <w:szCs w:val="21"/>
                    </w:rPr>
                    <w:t>原有工程</w:t>
                  </w:r>
                </w:p>
              </w:tc>
              <w:tc>
                <w:tcPr>
                  <w:tcW w:w="2505" w:type="dxa"/>
                  <w:gridSpan w:val="3"/>
                  <w:vAlign w:val="center"/>
                </w:tcPr>
                <w:p>
                  <w:pPr>
                    <w:jc w:val="center"/>
                    <w:rPr>
                      <w:b/>
                      <w:bCs/>
                      <w:sz w:val="21"/>
                      <w:szCs w:val="21"/>
                    </w:rPr>
                  </w:pPr>
                  <w:r>
                    <w:rPr>
                      <w:b/>
                      <w:bCs/>
                      <w:sz w:val="21"/>
                      <w:szCs w:val="21"/>
                    </w:rPr>
                    <w:t>本工程</w:t>
                  </w:r>
                </w:p>
              </w:tc>
              <w:tc>
                <w:tcPr>
                  <w:tcW w:w="3026" w:type="dxa"/>
                  <w:gridSpan w:val="3"/>
                  <w:vAlign w:val="center"/>
                </w:tcPr>
                <w:p>
                  <w:pPr>
                    <w:jc w:val="center"/>
                    <w:rPr>
                      <w:b/>
                      <w:bCs/>
                      <w:sz w:val="21"/>
                      <w:szCs w:val="21"/>
                    </w:rPr>
                  </w:pPr>
                  <w:r>
                    <w:rPr>
                      <w:b/>
                      <w:bCs/>
                      <w:sz w:val="21"/>
                      <w:szCs w:val="21"/>
                    </w:rPr>
                    <w:t>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b/>
                      <w:bCs/>
                      <w:sz w:val="21"/>
                      <w:szCs w:val="21"/>
                    </w:rPr>
                  </w:pPr>
                </w:p>
              </w:tc>
              <w:tc>
                <w:tcPr>
                  <w:tcW w:w="680" w:type="dxa"/>
                  <w:vMerge w:val="continue"/>
                  <w:vAlign w:val="center"/>
                </w:tcPr>
                <w:p>
                  <w:pPr>
                    <w:jc w:val="center"/>
                    <w:rPr>
                      <w:b/>
                      <w:bCs/>
                      <w:sz w:val="21"/>
                      <w:szCs w:val="21"/>
                    </w:rPr>
                  </w:pPr>
                </w:p>
              </w:tc>
              <w:tc>
                <w:tcPr>
                  <w:tcW w:w="703" w:type="dxa"/>
                  <w:vMerge w:val="continue"/>
                  <w:vAlign w:val="center"/>
                </w:tcPr>
                <w:p>
                  <w:pPr>
                    <w:jc w:val="center"/>
                    <w:rPr>
                      <w:b/>
                      <w:bCs/>
                      <w:sz w:val="21"/>
                      <w:szCs w:val="21"/>
                    </w:rPr>
                  </w:pPr>
                </w:p>
              </w:tc>
              <w:tc>
                <w:tcPr>
                  <w:tcW w:w="1040" w:type="dxa"/>
                  <w:vAlign w:val="center"/>
                </w:tcPr>
                <w:p>
                  <w:pPr>
                    <w:jc w:val="center"/>
                    <w:rPr>
                      <w:b/>
                      <w:bCs/>
                      <w:sz w:val="21"/>
                      <w:szCs w:val="21"/>
                    </w:rPr>
                  </w:pPr>
                  <w:r>
                    <w:rPr>
                      <w:b/>
                      <w:bCs/>
                      <w:sz w:val="21"/>
                      <w:szCs w:val="21"/>
                    </w:rPr>
                    <w:t>排放量</w:t>
                  </w:r>
                </w:p>
              </w:tc>
              <w:tc>
                <w:tcPr>
                  <w:tcW w:w="794" w:type="dxa"/>
                  <w:vAlign w:val="center"/>
                </w:tcPr>
                <w:p>
                  <w:pPr>
                    <w:jc w:val="center"/>
                    <w:rPr>
                      <w:b/>
                      <w:bCs/>
                      <w:sz w:val="21"/>
                      <w:szCs w:val="21"/>
                    </w:rPr>
                  </w:pPr>
                  <w:r>
                    <w:rPr>
                      <w:b/>
                      <w:bCs/>
                      <w:sz w:val="21"/>
                      <w:szCs w:val="21"/>
                    </w:rPr>
                    <w:t>产生量</w:t>
                  </w:r>
                </w:p>
              </w:tc>
              <w:tc>
                <w:tcPr>
                  <w:tcW w:w="899" w:type="dxa"/>
                  <w:vAlign w:val="center"/>
                </w:tcPr>
                <w:p>
                  <w:pPr>
                    <w:jc w:val="center"/>
                    <w:rPr>
                      <w:b/>
                      <w:bCs/>
                      <w:sz w:val="21"/>
                      <w:szCs w:val="21"/>
                    </w:rPr>
                  </w:pPr>
                  <w:r>
                    <w:rPr>
                      <w:b/>
                      <w:bCs/>
                      <w:sz w:val="21"/>
                      <w:szCs w:val="21"/>
                    </w:rPr>
                    <w:t>削减量</w:t>
                  </w:r>
                </w:p>
              </w:tc>
              <w:tc>
                <w:tcPr>
                  <w:tcW w:w="812" w:type="dxa"/>
                  <w:vAlign w:val="center"/>
                </w:tcPr>
                <w:p>
                  <w:pPr>
                    <w:jc w:val="center"/>
                    <w:rPr>
                      <w:b/>
                      <w:bCs/>
                      <w:sz w:val="21"/>
                      <w:szCs w:val="21"/>
                    </w:rPr>
                  </w:pPr>
                  <w:r>
                    <w:rPr>
                      <w:b/>
                      <w:bCs/>
                      <w:sz w:val="21"/>
                      <w:szCs w:val="21"/>
                    </w:rPr>
                    <w:t>排放量</w:t>
                  </w:r>
                </w:p>
              </w:tc>
              <w:tc>
                <w:tcPr>
                  <w:tcW w:w="1187" w:type="dxa"/>
                  <w:vAlign w:val="center"/>
                </w:tcPr>
                <w:p>
                  <w:pPr>
                    <w:jc w:val="center"/>
                    <w:rPr>
                      <w:b/>
                      <w:bCs/>
                      <w:sz w:val="21"/>
                      <w:szCs w:val="21"/>
                    </w:rPr>
                  </w:pPr>
                  <w:r>
                    <w:rPr>
                      <w:b/>
                      <w:bCs/>
                      <w:sz w:val="21"/>
                      <w:szCs w:val="21"/>
                    </w:rPr>
                    <w:t>“以新带老”削减量</w:t>
                  </w:r>
                </w:p>
              </w:tc>
              <w:tc>
                <w:tcPr>
                  <w:tcW w:w="853" w:type="dxa"/>
                  <w:vAlign w:val="center"/>
                </w:tcPr>
                <w:p>
                  <w:pPr>
                    <w:jc w:val="center"/>
                    <w:rPr>
                      <w:b/>
                      <w:bCs/>
                      <w:sz w:val="21"/>
                      <w:szCs w:val="21"/>
                    </w:rPr>
                  </w:pPr>
                  <w:r>
                    <w:rPr>
                      <w:b/>
                      <w:bCs/>
                      <w:sz w:val="21"/>
                      <w:szCs w:val="21"/>
                    </w:rPr>
                    <w:t>排放总量</w:t>
                  </w:r>
                </w:p>
              </w:tc>
              <w:tc>
                <w:tcPr>
                  <w:tcW w:w="986" w:type="dxa"/>
                  <w:vAlign w:val="center"/>
                </w:tcPr>
                <w:p>
                  <w:pPr>
                    <w:jc w:val="center"/>
                    <w:rPr>
                      <w:b/>
                      <w:bCs/>
                      <w:sz w:val="21"/>
                      <w:szCs w:val="21"/>
                    </w:rPr>
                  </w:pPr>
                  <w:r>
                    <w:rPr>
                      <w:b/>
                      <w:bCs/>
                      <w:sz w:val="21"/>
                      <w:szCs w:val="21"/>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restart"/>
                  <w:vAlign w:val="center"/>
                </w:tcPr>
                <w:p>
                  <w:pPr>
                    <w:jc w:val="center"/>
                    <w:rPr>
                      <w:sz w:val="21"/>
                      <w:szCs w:val="21"/>
                    </w:rPr>
                  </w:pPr>
                  <w:r>
                    <w:rPr>
                      <w:sz w:val="21"/>
                      <w:szCs w:val="21"/>
                    </w:rPr>
                    <w:t>邓川污水厂</w:t>
                  </w:r>
                </w:p>
              </w:tc>
              <w:tc>
                <w:tcPr>
                  <w:tcW w:w="680" w:type="dxa"/>
                  <w:vMerge w:val="restart"/>
                  <w:vAlign w:val="center"/>
                </w:tcPr>
                <w:p>
                  <w:pPr>
                    <w:jc w:val="center"/>
                    <w:rPr>
                      <w:sz w:val="21"/>
                      <w:szCs w:val="21"/>
                    </w:rPr>
                  </w:pPr>
                  <w:r>
                    <w:rPr>
                      <w:sz w:val="21"/>
                      <w:szCs w:val="21"/>
                    </w:rPr>
                    <w:t>废水</w:t>
                  </w:r>
                </w:p>
              </w:tc>
              <w:tc>
                <w:tcPr>
                  <w:tcW w:w="703" w:type="dxa"/>
                  <w:vAlign w:val="center"/>
                </w:tcPr>
                <w:p>
                  <w:pPr>
                    <w:jc w:val="center"/>
                    <w:rPr>
                      <w:sz w:val="21"/>
                      <w:szCs w:val="21"/>
                    </w:rPr>
                  </w:pPr>
                  <w:r>
                    <w:rPr>
                      <w:sz w:val="21"/>
                      <w:szCs w:val="21"/>
                    </w:rPr>
                    <w:t>COD</w:t>
                  </w:r>
                </w:p>
              </w:tc>
              <w:tc>
                <w:tcPr>
                  <w:tcW w:w="1040" w:type="dxa"/>
                  <w:vAlign w:val="center"/>
                </w:tcPr>
                <w:p>
                  <w:pPr>
                    <w:jc w:val="center"/>
                    <w:rPr>
                      <w:sz w:val="21"/>
                      <w:szCs w:val="21"/>
                    </w:rPr>
                  </w:pPr>
                  <w:r>
                    <w:rPr>
                      <w:sz w:val="21"/>
                      <w:szCs w:val="21"/>
                    </w:rPr>
                    <w:t>29.93</w:t>
                  </w:r>
                </w:p>
              </w:tc>
              <w:tc>
                <w:tcPr>
                  <w:tcW w:w="794" w:type="dxa"/>
                  <w:vAlign w:val="center"/>
                </w:tcPr>
                <w:p>
                  <w:pPr>
                    <w:jc w:val="center"/>
                    <w:rPr>
                      <w:sz w:val="21"/>
                      <w:szCs w:val="21"/>
                    </w:rPr>
                  </w:pPr>
                  <w:r>
                    <w:rPr>
                      <w:color w:val="000000"/>
                      <w:kern w:val="0"/>
                      <w:sz w:val="21"/>
                      <w:szCs w:val="21"/>
                    </w:rPr>
                    <w:t>204.4</w:t>
                  </w:r>
                </w:p>
              </w:tc>
              <w:tc>
                <w:tcPr>
                  <w:tcW w:w="899" w:type="dxa"/>
                  <w:vAlign w:val="center"/>
                </w:tcPr>
                <w:p>
                  <w:pPr>
                    <w:widowControl/>
                    <w:jc w:val="center"/>
                    <w:textAlignment w:val="center"/>
                    <w:rPr>
                      <w:sz w:val="21"/>
                      <w:szCs w:val="21"/>
                    </w:rPr>
                  </w:pPr>
                  <w:r>
                    <w:rPr>
                      <w:color w:val="000000"/>
                      <w:kern w:val="0"/>
                      <w:sz w:val="21"/>
                      <w:szCs w:val="21"/>
                    </w:rPr>
                    <w:t>182.5</w:t>
                  </w:r>
                </w:p>
              </w:tc>
              <w:tc>
                <w:tcPr>
                  <w:tcW w:w="812" w:type="dxa"/>
                  <w:vAlign w:val="center"/>
                </w:tcPr>
                <w:p>
                  <w:pPr>
                    <w:widowControl/>
                    <w:jc w:val="center"/>
                    <w:textAlignment w:val="center"/>
                    <w:rPr>
                      <w:sz w:val="21"/>
                      <w:szCs w:val="21"/>
                    </w:rPr>
                  </w:pPr>
                  <w:r>
                    <w:rPr>
                      <w:color w:val="000000"/>
                      <w:kern w:val="0"/>
                      <w:sz w:val="21"/>
                      <w:szCs w:val="21"/>
                    </w:rPr>
                    <w:t>21.9</w:t>
                  </w:r>
                </w:p>
              </w:tc>
              <w:tc>
                <w:tcPr>
                  <w:tcW w:w="1187" w:type="dxa"/>
                  <w:vAlign w:val="center"/>
                </w:tcPr>
                <w:p>
                  <w:pPr>
                    <w:widowControl/>
                    <w:jc w:val="center"/>
                    <w:textAlignment w:val="center"/>
                    <w:rPr>
                      <w:color w:val="000000"/>
                      <w:sz w:val="21"/>
                      <w:szCs w:val="21"/>
                    </w:rPr>
                  </w:pPr>
                  <w:r>
                    <w:rPr>
                      <w:color w:val="000000"/>
                      <w:kern w:val="0"/>
                      <w:sz w:val="21"/>
                      <w:szCs w:val="21"/>
                    </w:rPr>
                    <w:t xml:space="preserve">26.7232 </w:t>
                  </w:r>
                </w:p>
              </w:tc>
              <w:tc>
                <w:tcPr>
                  <w:tcW w:w="853" w:type="dxa"/>
                  <w:vAlign w:val="center"/>
                </w:tcPr>
                <w:p>
                  <w:pPr>
                    <w:widowControl/>
                    <w:jc w:val="center"/>
                    <w:textAlignment w:val="center"/>
                    <w:rPr>
                      <w:sz w:val="21"/>
                      <w:szCs w:val="21"/>
                    </w:rPr>
                  </w:pPr>
                  <w:r>
                    <w:rPr>
                      <w:color w:val="000000"/>
                      <w:kern w:val="0"/>
                      <w:sz w:val="21"/>
                      <w:szCs w:val="21"/>
                    </w:rPr>
                    <w:t>21.9</w:t>
                  </w:r>
                </w:p>
              </w:tc>
              <w:tc>
                <w:tcPr>
                  <w:tcW w:w="986" w:type="dxa"/>
                  <w:vAlign w:val="center"/>
                </w:tcPr>
                <w:p>
                  <w:pPr>
                    <w:widowControl/>
                    <w:jc w:val="center"/>
                    <w:textAlignment w:val="center"/>
                    <w:rPr>
                      <w:color w:val="000000"/>
                      <w:sz w:val="21"/>
                      <w:szCs w:val="21"/>
                    </w:rPr>
                  </w:pPr>
                  <w:r>
                    <w:rPr>
                      <w:color w:val="000000"/>
                      <w:kern w:val="0"/>
                      <w:sz w:val="21"/>
                      <w:szCs w:val="21"/>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TN</w:t>
                  </w:r>
                </w:p>
              </w:tc>
              <w:tc>
                <w:tcPr>
                  <w:tcW w:w="1040" w:type="dxa"/>
                  <w:vAlign w:val="center"/>
                </w:tcPr>
                <w:p>
                  <w:pPr>
                    <w:jc w:val="center"/>
                    <w:rPr>
                      <w:sz w:val="21"/>
                      <w:szCs w:val="21"/>
                    </w:rPr>
                  </w:pPr>
                  <w:r>
                    <w:rPr>
                      <w:sz w:val="21"/>
                      <w:szCs w:val="21"/>
                    </w:rPr>
                    <w:t>1.679</w:t>
                  </w:r>
                </w:p>
              </w:tc>
              <w:tc>
                <w:tcPr>
                  <w:tcW w:w="794" w:type="dxa"/>
                  <w:vAlign w:val="center"/>
                </w:tcPr>
                <w:p>
                  <w:pPr>
                    <w:jc w:val="center"/>
                    <w:rPr>
                      <w:sz w:val="21"/>
                      <w:szCs w:val="21"/>
                    </w:rPr>
                  </w:pPr>
                  <w:r>
                    <w:rPr>
                      <w:color w:val="000000"/>
                      <w:kern w:val="0"/>
                      <w:sz w:val="21"/>
                      <w:szCs w:val="21"/>
                    </w:rPr>
                    <w:t>25.55</w:t>
                  </w:r>
                </w:p>
              </w:tc>
              <w:tc>
                <w:tcPr>
                  <w:tcW w:w="899" w:type="dxa"/>
                  <w:vAlign w:val="center"/>
                </w:tcPr>
                <w:p>
                  <w:pPr>
                    <w:widowControl/>
                    <w:jc w:val="center"/>
                    <w:textAlignment w:val="center"/>
                    <w:rPr>
                      <w:sz w:val="21"/>
                      <w:szCs w:val="21"/>
                    </w:rPr>
                  </w:pPr>
                  <w:r>
                    <w:rPr>
                      <w:color w:val="000000"/>
                      <w:kern w:val="0"/>
                      <w:sz w:val="21"/>
                      <w:szCs w:val="21"/>
                    </w:rPr>
                    <w:t>14.6</w:t>
                  </w:r>
                </w:p>
              </w:tc>
              <w:tc>
                <w:tcPr>
                  <w:tcW w:w="812" w:type="dxa"/>
                  <w:vAlign w:val="center"/>
                </w:tcPr>
                <w:p>
                  <w:pPr>
                    <w:widowControl/>
                    <w:jc w:val="center"/>
                    <w:textAlignment w:val="center"/>
                    <w:rPr>
                      <w:sz w:val="21"/>
                      <w:szCs w:val="21"/>
                    </w:rPr>
                  </w:pPr>
                  <w:r>
                    <w:rPr>
                      <w:color w:val="000000"/>
                      <w:kern w:val="0"/>
                      <w:sz w:val="21"/>
                      <w:szCs w:val="21"/>
                    </w:rPr>
                    <w:t>10.95</w:t>
                  </w:r>
                </w:p>
              </w:tc>
              <w:tc>
                <w:tcPr>
                  <w:tcW w:w="1187" w:type="dxa"/>
                  <w:vAlign w:val="center"/>
                </w:tcPr>
                <w:p>
                  <w:pPr>
                    <w:widowControl/>
                    <w:jc w:val="center"/>
                    <w:textAlignment w:val="center"/>
                    <w:rPr>
                      <w:color w:val="000000"/>
                      <w:sz w:val="21"/>
                      <w:szCs w:val="21"/>
                    </w:rPr>
                  </w:pPr>
                  <w:r>
                    <w:rPr>
                      <w:color w:val="000000"/>
                      <w:kern w:val="0"/>
                      <w:sz w:val="21"/>
                      <w:szCs w:val="21"/>
                    </w:rPr>
                    <w:t xml:space="preserve">0.9594 </w:t>
                  </w:r>
                </w:p>
              </w:tc>
              <w:tc>
                <w:tcPr>
                  <w:tcW w:w="853" w:type="dxa"/>
                  <w:vAlign w:val="center"/>
                </w:tcPr>
                <w:p>
                  <w:pPr>
                    <w:widowControl/>
                    <w:jc w:val="center"/>
                    <w:textAlignment w:val="center"/>
                    <w:rPr>
                      <w:sz w:val="21"/>
                      <w:szCs w:val="21"/>
                    </w:rPr>
                  </w:pPr>
                  <w:r>
                    <w:rPr>
                      <w:color w:val="000000"/>
                      <w:kern w:val="0"/>
                      <w:sz w:val="21"/>
                      <w:szCs w:val="21"/>
                    </w:rPr>
                    <w:t>10.95</w:t>
                  </w:r>
                </w:p>
              </w:tc>
              <w:tc>
                <w:tcPr>
                  <w:tcW w:w="986" w:type="dxa"/>
                  <w:vAlign w:val="center"/>
                </w:tcPr>
                <w:p>
                  <w:pPr>
                    <w:widowControl/>
                    <w:jc w:val="center"/>
                    <w:textAlignment w:val="center"/>
                    <w:rPr>
                      <w:color w:val="000000"/>
                      <w:sz w:val="21"/>
                      <w:szCs w:val="21"/>
                    </w:rPr>
                  </w:pPr>
                  <w:r>
                    <w:rPr>
                      <w:color w:val="000000"/>
                      <w:kern w:val="0"/>
                      <w:sz w:val="21"/>
                      <w:szCs w:val="21"/>
                    </w:rPr>
                    <w:t>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氨氮</w:t>
                  </w:r>
                </w:p>
              </w:tc>
              <w:tc>
                <w:tcPr>
                  <w:tcW w:w="1040" w:type="dxa"/>
                  <w:vAlign w:val="center"/>
                </w:tcPr>
                <w:p>
                  <w:pPr>
                    <w:jc w:val="center"/>
                    <w:rPr>
                      <w:sz w:val="21"/>
                      <w:szCs w:val="21"/>
                    </w:rPr>
                  </w:pPr>
                  <w:r>
                    <w:rPr>
                      <w:sz w:val="21"/>
                      <w:szCs w:val="21"/>
                    </w:rPr>
                    <w:t>0.3358</w:t>
                  </w:r>
                </w:p>
              </w:tc>
              <w:tc>
                <w:tcPr>
                  <w:tcW w:w="794" w:type="dxa"/>
                  <w:vAlign w:val="center"/>
                </w:tcPr>
                <w:p>
                  <w:pPr>
                    <w:jc w:val="center"/>
                    <w:rPr>
                      <w:sz w:val="21"/>
                      <w:szCs w:val="21"/>
                    </w:rPr>
                  </w:pPr>
                  <w:r>
                    <w:rPr>
                      <w:color w:val="000000"/>
                      <w:kern w:val="0"/>
                      <w:sz w:val="21"/>
                      <w:szCs w:val="21"/>
                    </w:rPr>
                    <w:t>10.95</w:t>
                  </w:r>
                </w:p>
              </w:tc>
              <w:tc>
                <w:tcPr>
                  <w:tcW w:w="899" w:type="dxa"/>
                  <w:vAlign w:val="center"/>
                </w:tcPr>
                <w:p>
                  <w:pPr>
                    <w:widowControl/>
                    <w:jc w:val="center"/>
                    <w:textAlignment w:val="center"/>
                    <w:rPr>
                      <w:sz w:val="21"/>
                      <w:szCs w:val="21"/>
                    </w:rPr>
                  </w:pPr>
                  <w:r>
                    <w:rPr>
                      <w:color w:val="000000"/>
                      <w:kern w:val="0"/>
                      <w:sz w:val="21"/>
                      <w:szCs w:val="21"/>
                    </w:rPr>
                    <w:t>9.855</w:t>
                  </w:r>
                </w:p>
              </w:tc>
              <w:tc>
                <w:tcPr>
                  <w:tcW w:w="812" w:type="dxa"/>
                  <w:vAlign w:val="center"/>
                </w:tcPr>
                <w:p>
                  <w:pPr>
                    <w:widowControl/>
                    <w:jc w:val="center"/>
                    <w:textAlignment w:val="center"/>
                    <w:rPr>
                      <w:sz w:val="21"/>
                      <w:szCs w:val="21"/>
                    </w:rPr>
                  </w:pPr>
                  <w:r>
                    <w:rPr>
                      <w:color w:val="000000"/>
                      <w:kern w:val="0"/>
                      <w:sz w:val="21"/>
                      <w:szCs w:val="21"/>
                    </w:rPr>
                    <w:t>1.095</w:t>
                  </w:r>
                </w:p>
              </w:tc>
              <w:tc>
                <w:tcPr>
                  <w:tcW w:w="1187" w:type="dxa"/>
                  <w:vAlign w:val="center"/>
                </w:tcPr>
                <w:p>
                  <w:pPr>
                    <w:widowControl/>
                    <w:jc w:val="center"/>
                    <w:textAlignment w:val="center"/>
                    <w:rPr>
                      <w:color w:val="000000"/>
                      <w:sz w:val="21"/>
                      <w:szCs w:val="21"/>
                    </w:rPr>
                  </w:pPr>
                  <w:r>
                    <w:rPr>
                      <w:color w:val="000000"/>
                      <w:kern w:val="0"/>
                      <w:sz w:val="21"/>
                      <w:szCs w:val="21"/>
                    </w:rPr>
                    <w:t xml:space="preserve">0.3022 </w:t>
                  </w:r>
                </w:p>
              </w:tc>
              <w:tc>
                <w:tcPr>
                  <w:tcW w:w="853" w:type="dxa"/>
                  <w:vAlign w:val="center"/>
                </w:tcPr>
                <w:p>
                  <w:pPr>
                    <w:widowControl/>
                    <w:jc w:val="center"/>
                    <w:textAlignment w:val="center"/>
                    <w:rPr>
                      <w:sz w:val="21"/>
                      <w:szCs w:val="21"/>
                    </w:rPr>
                  </w:pPr>
                  <w:r>
                    <w:rPr>
                      <w:color w:val="000000"/>
                      <w:kern w:val="0"/>
                      <w:sz w:val="21"/>
                      <w:szCs w:val="21"/>
                    </w:rPr>
                    <w:t>1.095</w:t>
                  </w:r>
                </w:p>
              </w:tc>
              <w:tc>
                <w:tcPr>
                  <w:tcW w:w="986" w:type="dxa"/>
                  <w:vAlign w:val="center"/>
                </w:tcPr>
                <w:p>
                  <w:pPr>
                    <w:widowControl/>
                    <w:jc w:val="center"/>
                    <w:textAlignment w:val="center"/>
                    <w:rPr>
                      <w:color w:val="000000"/>
                      <w:sz w:val="21"/>
                      <w:szCs w:val="21"/>
                    </w:rPr>
                  </w:pPr>
                  <w:r>
                    <w:rPr>
                      <w:color w:val="000000"/>
                      <w:kern w:val="0"/>
                      <w:sz w:val="21"/>
                      <w:szCs w:val="21"/>
                    </w:rPr>
                    <w:t>0.7592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TP</w:t>
                  </w:r>
                </w:p>
              </w:tc>
              <w:tc>
                <w:tcPr>
                  <w:tcW w:w="1040" w:type="dxa"/>
                  <w:vAlign w:val="center"/>
                </w:tcPr>
                <w:p>
                  <w:pPr>
                    <w:jc w:val="center"/>
                    <w:rPr>
                      <w:sz w:val="21"/>
                      <w:szCs w:val="21"/>
                    </w:rPr>
                  </w:pPr>
                  <w:r>
                    <w:rPr>
                      <w:sz w:val="21"/>
                      <w:szCs w:val="21"/>
                    </w:rPr>
                    <w:t>0.1197</w:t>
                  </w:r>
                </w:p>
              </w:tc>
              <w:tc>
                <w:tcPr>
                  <w:tcW w:w="794" w:type="dxa"/>
                  <w:vAlign w:val="center"/>
                </w:tcPr>
                <w:p>
                  <w:pPr>
                    <w:jc w:val="center"/>
                    <w:rPr>
                      <w:sz w:val="21"/>
                      <w:szCs w:val="21"/>
                    </w:rPr>
                  </w:pPr>
                  <w:r>
                    <w:rPr>
                      <w:rFonts w:hint="eastAsia"/>
                      <w:sz w:val="21"/>
                      <w:szCs w:val="21"/>
                    </w:rPr>
                    <w:t>2.19</w:t>
                  </w:r>
                </w:p>
              </w:tc>
              <w:tc>
                <w:tcPr>
                  <w:tcW w:w="899" w:type="dxa"/>
                  <w:vAlign w:val="center"/>
                </w:tcPr>
                <w:p>
                  <w:pPr>
                    <w:widowControl/>
                    <w:jc w:val="center"/>
                    <w:textAlignment w:val="center"/>
                    <w:rPr>
                      <w:sz w:val="21"/>
                      <w:szCs w:val="21"/>
                    </w:rPr>
                  </w:pPr>
                  <w:r>
                    <w:rPr>
                      <w:color w:val="000000"/>
                      <w:kern w:val="0"/>
                      <w:sz w:val="21"/>
                      <w:szCs w:val="21"/>
                    </w:rPr>
                    <w:t>1.971</w:t>
                  </w:r>
                </w:p>
              </w:tc>
              <w:tc>
                <w:tcPr>
                  <w:tcW w:w="812" w:type="dxa"/>
                  <w:vAlign w:val="center"/>
                </w:tcPr>
                <w:p>
                  <w:pPr>
                    <w:widowControl/>
                    <w:jc w:val="center"/>
                    <w:textAlignment w:val="center"/>
                    <w:rPr>
                      <w:sz w:val="21"/>
                      <w:szCs w:val="21"/>
                    </w:rPr>
                  </w:pPr>
                  <w:r>
                    <w:rPr>
                      <w:color w:val="000000"/>
                      <w:kern w:val="0"/>
                      <w:sz w:val="21"/>
                      <w:szCs w:val="21"/>
                    </w:rPr>
                    <w:t>0.219</w:t>
                  </w:r>
                </w:p>
              </w:tc>
              <w:tc>
                <w:tcPr>
                  <w:tcW w:w="1187" w:type="dxa"/>
                  <w:vAlign w:val="center"/>
                </w:tcPr>
                <w:p>
                  <w:pPr>
                    <w:widowControl/>
                    <w:jc w:val="center"/>
                    <w:textAlignment w:val="center"/>
                    <w:rPr>
                      <w:color w:val="000000"/>
                      <w:sz w:val="21"/>
                      <w:szCs w:val="21"/>
                    </w:rPr>
                  </w:pPr>
                  <w:r>
                    <w:rPr>
                      <w:color w:val="000000"/>
                      <w:kern w:val="0"/>
                      <w:sz w:val="21"/>
                      <w:szCs w:val="21"/>
                    </w:rPr>
                    <w:t xml:space="preserve">0.1077 </w:t>
                  </w:r>
                </w:p>
              </w:tc>
              <w:tc>
                <w:tcPr>
                  <w:tcW w:w="853" w:type="dxa"/>
                  <w:vAlign w:val="center"/>
                </w:tcPr>
                <w:p>
                  <w:pPr>
                    <w:widowControl/>
                    <w:jc w:val="center"/>
                    <w:textAlignment w:val="center"/>
                    <w:rPr>
                      <w:sz w:val="21"/>
                      <w:szCs w:val="21"/>
                    </w:rPr>
                  </w:pPr>
                  <w:r>
                    <w:rPr>
                      <w:color w:val="000000"/>
                      <w:kern w:val="0"/>
                      <w:sz w:val="21"/>
                      <w:szCs w:val="21"/>
                    </w:rPr>
                    <w:t>0.219</w:t>
                  </w:r>
                </w:p>
              </w:tc>
              <w:tc>
                <w:tcPr>
                  <w:tcW w:w="986" w:type="dxa"/>
                  <w:vAlign w:val="center"/>
                </w:tcPr>
                <w:p>
                  <w:pPr>
                    <w:widowControl/>
                    <w:jc w:val="center"/>
                    <w:textAlignment w:val="center"/>
                    <w:rPr>
                      <w:color w:val="000000"/>
                      <w:sz w:val="21"/>
                      <w:szCs w:val="21"/>
                    </w:rPr>
                  </w:pPr>
                  <w:r>
                    <w:rPr>
                      <w:color w:val="000000"/>
                      <w:kern w:val="0"/>
                      <w:sz w:val="21"/>
                      <w:szCs w:val="21"/>
                    </w:rPr>
                    <w:t>0.0993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restart"/>
                  <w:vAlign w:val="center"/>
                </w:tcPr>
                <w:p>
                  <w:pPr>
                    <w:jc w:val="center"/>
                    <w:rPr>
                      <w:sz w:val="21"/>
                      <w:szCs w:val="21"/>
                    </w:rPr>
                  </w:pPr>
                  <w:r>
                    <w:rPr>
                      <w:sz w:val="21"/>
                      <w:szCs w:val="21"/>
                    </w:rPr>
                    <w:t>右所污水厂</w:t>
                  </w:r>
                </w:p>
              </w:tc>
              <w:tc>
                <w:tcPr>
                  <w:tcW w:w="680" w:type="dxa"/>
                  <w:vMerge w:val="restart"/>
                  <w:vAlign w:val="center"/>
                </w:tcPr>
                <w:p>
                  <w:pPr>
                    <w:jc w:val="center"/>
                    <w:rPr>
                      <w:sz w:val="21"/>
                      <w:szCs w:val="21"/>
                    </w:rPr>
                  </w:pPr>
                  <w:r>
                    <w:rPr>
                      <w:sz w:val="21"/>
                      <w:szCs w:val="21"/>
                    </w:rPr>
                    <w:t>废水</w:t>
                  </w:r>
                </w:p>
              </w:tc>
              <w:tc>
                <w:tcPr>
                  <w:tcW w:w="703" w:type="dxa"/>
                  <w:vAlign w:val="center"/>
                </w:tcPr>
                <w:p>
                  <w:pPr>
                    <w:jc w:val="center"/>
                    <w:rPr>
                      <w:sz w:val="21"/>
                      <w:szCs w:val="21"/>
                    </w:rPr>
                  </w:pPr>
                  <w:r>
                    <w:rPr>
                      <w:sz w:val="21"/>
                      <w:szCs w:val="21"/>
                    </w:rPr>
                    <w:t>COD</w:t>
                  </w:r>
                </w:p>
              </w:tc>
              <w:tc>
                <w:tcPr>
                  <w:tcW w:w="1040" w:type="dxa"/>
                  <w:vAlign w:val="center"/>
                </w:tcPr>
                <w:p>
                  <w:pPr>
                    <w:jc w:val="center"/>
                    <w:rPr>
                      <w:sz w:val="21"/>
                      <w:szCs w:val="21"/>
                    </w:rPr>
                  </w:pPr>
                  <w:r>
                    <w:rPr>
                      <w:sz w:val="21"/>
                      <w:szCs w:val="21"/>
                    </w:rPr>
                    <w:t>7.905</w:t>
                  </w:r>
                </w:p>
              </w:tc>
              <w:tc>
                <w:tcPr>
                  <w:tcW w:w="794" w:type="dxa"/>
                  <w:vAlign w:val="center"/>
                </w:tcPr>
                <w:p>
                  <w:pPr>
                    <w:jc w:val="center"/>
                    <w:rPr>
                      <w:sz w:val="21"/>
                      <w:szCs w:val="21"/>
                    </w:rPr>
                  </w:pPr>
                  <w:r>
                    <w:rPr>
                      <w:rFonts w:hint="eastAsia"/>
                      <w:sz w:val="21"/>
                      <w:szCs w:val="21"/>
                    </w:rPr>
                    <w:t>102.2</w:t>
                  </w:r>
                </w:p>
              </w:tc>
              <w:tc>
                <w:tcPr>
                  <w:tcW w:w="899" w:type="dxa"/>
                  <w:vAlign w:val="center"/>
                </w:tcPr>
                <w:p>
                  <w:pPr>
                    <w:widowControl/>
                    <w:jc w:val="center"/>
                    <w:textAlignment w:val="center"/>
                    <w:rPr>
                      <w:sz w:val="21"/>
                      <w:szCs w:val="21"/>
                    </w:rPr>
                  </w:pPr>
                  <w:r>
                    <w:rPr>
                      <w:color w:val="000000"/>
                      <w:kern w:val="0"/>
                      <w:sz w:val="21"/>
                      <w:szCs w:val="21"/>
                    </w:rPr>
                    <w:t>91.25</w:t>
                  </w:r>
                </w:p>
              </w:tc>
              <w:tc>
                <w:tcPr>
                  <w:tcW w:w="812" w:type="dxa"/>
                  <w:vAlign w:val="center"/>
                </w:tcPr>
                <w:p>
                  <w:pPr>
                    <w:widowControl/>
                    <w:jc w:val="center"/>
                    <w:textAlignment w:val="center"/>
                    <w:rPr>
                      <w:sz w:val="21"/>
                      <w:szCs w:val="21"/>
                    </w:rPr>
                  </w:pPr>
                  <w:r>
                    <w:rPr>
                      <w:color w:val="000000"/>
                      <w:kern w:val="0"/>
                      <w:sz w:val="21"/>
                      <w:szCs w:val="21"/>
                    </w:rPr>
                    <w:t>10.95</w:t>
                  </w:r>
                </w:p>
              </w:tc>
              <w:tc>
                <w:tcPr>
                  <w:tcW w:w="1187" w:type="dxa"/>
                  <w:vAlign w:val="center"/>
                </w:tcPr>
                <w:p>
                  <w:pPr>
                    <w:widowControl/>
                    <w:jc w:val="center"/>
                    <w:textAlignment w:val="center"/>
                    <w:rPr>
                      <w:color w:val="000000"/>
                      <w:sz w:val="21"/>
                      <w:szCs w:val="21"/>
                    </w:rPr>
                  </w:pPr>
                  <w:r>
                    <w:rPr>
                      <w:color w:val="000000"/>
                      <w:kern w:val="0"/>
                      <w:sz w:val="21"/>
                      <w:szCs w:val="21"/>
                    </w:rPr>
                    <w:t xml:space="preserve">7.0580 </w:t>
                  </w:r>
                </w:p>
              </w:tc>
              <w:tc>
                <w:tcPr>
                  <w:tcW w:w="853" w:type="dxa"/>
                  <w:vAlign w:val="center"/>
                </w:tcPr>
                <w:p>
                  <w:pPr>
                    <w:widowControl/>
                    <w:jc w:val="center"/>
                    <w:textAlignment w:val="center"/>
                    <w:rPr>
                      <w:sz w:val="21"/>
                      <w:szCs w:val="21"/>
                    </w:rPr>
                  </w:pPr>
                  <w:r>
                    <w:rPr>
                      <w:color w:val="000000"/>
                      <w:kern w:val="0"/>
                      <w:sz w:val="21"/>
                      <w:szCs w:val="21"/>
                    </w:rPr>
                    <w:t>10.95</w:t>
                  </w:r>
                </w:p>
              </w:tc>
              <w:tc>
                <w:tcPr>
                  <w:tcW w:w="986" w:type="dxa"/>
                  <w:vAlign w:val="center"/>
                </w:tcPr>
                <w:p>
                  <w:pPr>
                    <w:widowControl/>
                    <w:jc w:val="center"/>
                    <w:textAlignment w:val="center"/>
                    <w:rPr>
                      <w:color w:val="000000"/>
                      <w:sz w:val="21"/>
                      <w:szCs w:val="21"/>
                    </w:rPr>
                  </w:pPr>
                  <w:r>
                    <w:rPr>
                      <w:color w:val="000000"/>
                      <w:kern w:val="0"/>
                      <w:sz w:val="21"/>
                      <w:szCs w:val="21"/>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TN</w:t>
                  </w:r>
                </w:p>
              </w:tc>
              <w:tc>
                <w:tcPr>
                  <w:tcW w:w="1040" w:type="dxa"/>
                  <w:vAlign w:val="center"/>
                </w:tcPr>
                <w:p>
                  <w:pPr>
                    <w:jc w:val="center"/>
                    <w:rPr>
                      <w:sz w:val="21"/>
                      <w:szCs w:val="21"/>
                    </w:rPr>
                  </w:pPr>
                  <w:r>
                    <w:rPr>
                      <w:sz w:val="21"/>
                      <w:szCs w:val="21"/>
                    </w:rPr>
                    <w:t>3.4194</w:t>
                  </w:r>
                </w:p>
              </w:tc>
              <w:tc>
                <w:tcPr>
                  <w:tcW w:w="794" w:type="dxa"/>
                  <w:vAlign w:val="center"/>
                </w:tcPr>
                <w:p>
                  <w:pPr>
                    <w:jc w:val="center"/>
                    <w:rPr>
                      <w:sz w:val="21"/>
                      <w:szCs w:val="21"/>
                    </w:rPr>
                  </w:pPr>
                  <w:r>
                    <w:rPr>
                      <w:rFonts w:hint="eastAsia"/>
                      <w:sz w:val="21"/>
                      <w:szCs w:val="21"/>
                    </w:rPr>
                    <w:t>12.775</w:t>
                  </w:r>
                </w:p>
              </w:tc>
              <w:tc>
                <w:tcPr>
                  <w:tcW w:w="899" w:type="dxa"/>
                  <w:vAlign w:val="center"/>
                </w:tcPr>
                <w:p>
                  <w:pPr>
                    <w:widowControl/>
                    <w:jc w:val="center"/>
                    <w:textAlignment w:val="center"/>
                    <w:rPr>
                      <w:sz w:val="21"/>
                      <w:szCs w:val="21"/>
                    </w:rPr>
                  </w:pPr>
                  <w:r>
                    <w:rPr>
                      <w:color w:val="000000"/>
                      <w:kern w:val="0"/>
                      <w:sz w:val="21"/>
                      <w:szCs w:val="21"/>
                    </w:rPr>
                    <w:t>7.3</w:t>
                  </w:r>
                </w:p>
              </w:tc>
              <w:tc>
                <w:tcPr>
                  <w:tcW w:w="812" w:type="dxa"/>
                  <w:vAlign w:val="center"/>
                </w:tcPr>
                <w:p>
                  <w:pPr>
                    <w:widowControl/>
                    <w:jc w:val="center"/>
                    <w:textAlignment w:val="center"/>
                    <w:rPr>
                      <w:sz w:val="21"/>
                      <w:szCs w:val="21"/>
                    </w:rPr>
                  </w:pPr>
                  <w:r>
                    <w:rPr>
                      <w:color w:val="000000"/>
                      <w:kern w:val="0"/>
                      <w:sz w:val="21"/>
                      <w:szCs w:val="21"/>
                    </w:rPr>
                    <w:t>5.475</w:t>
                  </w:r>
                </w:p>
              </w:tc>
              <w:tc>
                <w:tcPr>
                  <w:tcW w:w="1187" w:type="dxa"/>
                  <w:vAlign w:val="center"/>
                </w:tcPr>
                <w:p>
                  <w:pPr>
                    <w:widowControl/>
                    <w:jc w:val="center"/>
                    <w:textAlignment w:val="center"/>
                    <w:rPr>
                      <w:color w:val="000000"/>
                      <w:sz w:val="21"/>
                      <w:szCs w:val="21"/>
                    </w:rPr>
                  </w:pPr>
                  <w:r>
                    <w:rPr>
                      <w:color w:val="000000"/>
                      <w:kern w:val="0"/>
                      <w:sz w:val="21"/>
                      <w:szCs w:val="21"/>
                    </w:rPr>
                    <w:t xml:space="preserve">1.9539 </w:t>
                  </w:r>
                </w:p>
              </w:tc>
              <w:tc>
                <w:tcPr>
                  <w:tcW w:w="853" w:type="dxa"/>
                  <w:vAlign w:val="center"/>
                </w:tcPr>
                <w:p>
                  <w:pPr>
                    <w:widowControl/>
                    <w:jc w:val="center"/>
                    <w:textAlignment w:val="center"/>
                    <w:rPr>
                      <w:sz w:val="21"/>
                      <w:szCs w:val="21"/>
                    </w:rPr>
                  </w:pPr>
                  <w:r>
                    <w:rPr>
                      <w:color w:val="000000"/>
                      <w:kern w:val="0"/>
                      <w:sz w:val="21"/>
                      <w:szCs w:val="21"/>
                    </w:rPr>
                    <w:t>5.475</w:t>
                  </w:r>
                </w:p>
              </w:tc>
              <w:tc>
                <w:tcPr>
                  <w:tcW w:w="986" w:type="dxa"/>
                  <w:vAlign w:val="center"/>
                </w:tcPr>
                <w:p>
                  <w:pPr>
                    <w:widowControl/>
                    <w:jc w:val="center"/>
                    <w:textAlignment w:val="center"/>
                    <w:rPr>
                      <w:color w:val="000000"/>
                      <w:sz w:val="21"/>
                      <w:szCs w:val="21"/>
                    </w:rPr>
                  </w:pPr>
                  <w:r>
                    <w:rPr>
                      <w:color w:val="000000"/>
                      <w:kern w:val="0"/>
                      <w:sz w:val="21"/>
                      <w:szCs w:val="21"/>
                    </w:rPr>
                    <w:t>2.0556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氨氮</w:t>
                  </w:r>
                </w:p>
              </w:tc>
              <w:tc>
                <w:tcPr>
                  <w:tcW w:w="1040" w:type="dxa"/>
                  <w:vAlign w:val="center"/>
                </w:tcPr>
                <w:p>
                  <w:pPr>
                    <w:jc w:val="center"/>
                    <w:rPr>
                      <w:sz w:val="21"/>
                      <w:szCs w:val="21"/>
                    </w:rPr>
                  </w:pPr>
                  <w:r>
                    <w:rPr>
                      <w:sz w:val="21"/>
                      <w:szCs w:val="21"/>
                    </w:rPr>
                    <w:t>0.0678</w:t>
                  </w:r>
                </w:p>
              </w:tc>
              <w:tc>
                <w:tcPr>
                  <w:tcW w:w="794" w:type="dxa"/>
                  <w:vAlign w:val="center"/>
                </w:tcPr>
                <w:p>
                  <w:pPr>
                    <w:jc w:val="center"/>
                    <w:rPr>
                      <w:sz w:val="21"/>
                      <w:szCs w:val="21"/>
                    </w:rPr>
                  </w:pPr>
                  <w:r>
                    <w:rPr>
                      <w:rFonts w:hint="eastAsia"/>
                      <w:sz w:val="21"/>
                      <w:szCs w:val="21"/>
                    </w:rPr>
                    <w:t>5.475</w:t>
                  </w:r>
                </w:p>
              </w:tc>
              <w:tc>
                <w:tcPr>
                  <w:tcW w:w="899" w:type="dxa"/>
                  <w:vAlign w:val="center"/>
                </w:tcPr>
                <w:p>
                  <w:pPr>
                    <w:widowControl/>
                    <w:jc w:val="center"/>
                    <w:textAlignment w:val="center"/>
                    <w:rPr>
                      <w:sz w:val="21"/>
                      <w:szCs w:val="21"/>
                    </w:rPr>
                  </w:pPr>
                  <w:r>
                    <w:rPr>
                      <w:color w:val="000000"/>
                      <w:kern w:val="0"/>
                      <w:sz w:val="21"/>
                      <w:szCs w:val="21"/>
                    </w:rPr>
                    <w:t>4.9275</w:t>
                  </w:r>
                </w:p>
              </w:tc>
              <w:tc>
                <w:tcPr>
                  <w:tcW w:w="812" w:type="dxa"/>
                  <w:vAlign w:val="center"/>
                </w:tcPr>
                <w:p>
                  <w:pPr>
                    <w:widowControl/>
                    <w:jc w:val="center"/>
                    <w:textAlignment w:val="center"/>
                    <w:rPr>
                      <w:sz w:val="21"/>
                      <w:szCs w:val="21"/>
                    </w:rPr>
                  </w:pPr>
                  <w:r>
                    <w:rPr>
                      <w:color w:val="000000"/>
                      <w:kern w:val="0"/>
                      <w:sz w:val="21"/>
                      <w:szCs w:val="21"/>
                    </w:rPr>
                    <w:t>0.5475</w:t>
                  </w:r>
                </w:p>
              </w:tc>
              <w:tc>
                <w:tcPr>
                  <w:tcW w:w="1187" w:type="dxa"/>
                  <w:vAlign w:val="center"/>
                </w:tcPr>
                <w:p>
                  <w:pPr>
                    <w:widowControl/>
                    <w:jc w:val="center"/>
                    <w:textAlignment w:val="center"/>
                    <w:rPr>
                      <w:color w:val="000000"/>
                      <w:sz w:val="21"/>
                      <w:szCs w:val="21"/>
                    </w:rPr>
                  </w:pPr>
                  <w:r>
                    <w:rPr>
                      <w:color w:val="000000"/>
                      <w:kern w:val="0"/>
                      <w:sz w:val="21"/>
                      <w:szCs w:val="21"/>
                    </w:rPr>
                    <w:t xml:space="preserve">0.0610 </w:t>
                  </w:r>
                </w:p>
              </w:tc>
              <w:tc>
                <w:tcPr>
                  <w:tcW w:w="853" w:type="dxa"/>
                  <w:vAlign w:val="center"/>
                </w:tcPr>
                <w:p>
                  <w:pPr>
                    <w:widowControl/>
                    <w:jc w:val="center"/>
                    <w:textAlignment w:val="center"/>
                    <w:rPr>
                      <w:sz w:val="21"/>
                      <w:szCs w:val="21"/>
                    </w:rPr>
                  </w:pPr>
                  <w:r>
                    <w:rPr>
                      <w:color w:val="000000"/>
                      <w:kern w:val="0"/>
                      <w:sz w:val="21"/>
                      <w:szCs w:val="21"/>
                    </w:rPr>
                    <w:t>0.5475</w:t>
                  </w:r>
                </w:p>
              </w:tc>
              <w:tc>
                <w:tcPr>
                  <w:tcW w:w="986" w:type="dxa"/>
                  <w:vAlign w:val="center"/>
                </w:tcPr>
                <w:p>
                  <w:pPr>
                    <w:widowControl/>
                    <w:jc w:val="center"/>
                    <w:textAlignment w:val="center"/>
                    <w:rPr>
                      <w:color w:val="000000"/>
                      <w:sz w:val="21"/>
                      <w:szCs w:val="21"/>
                    </w:rPr>
                  </w:pPr>
                  <w:r>
                    <w:rPr>
                      <w:color w:val="000000"/>
                      <w:kern w:val="0"/>
                      <w:sz w:val="21"/>
                      <w:szCs w:val="21"/>
                    </w:rPr>
                    <w:t>0.4797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TP</w:t>
                  </w:r>
                </w:p>
              </w:tc>
              <w:tc>
                <w:tcPr>
                  <w:tcW w:w="1040" w:type="dxa"/>
                  <w:vAlign w:val="center"/>
                </w:tcPr>
                <w:p>
                  <w:pPr>
                    <w:jc w:val="center"/>
                    <w:rPr>
                      <w:sz w:val="21"/>
                      <w:szCs w:val="21"/>
                    </w:rPr>
                  </w:pPr>
                  <w:r>
                    <w:rPr>
                      <w:sz w:val="21"/>
                      <w:szCs w:val="21"/>
                    </w:rPr>
                    <w:t>0.1068</w:t>
                  </w:r>
                </w:p>
              </w:tc>
              <w:tc>
                <w:tcPr>
                  <w:tcW w:w="794" w:type="dxa"/>
                  <w:vAlign w:val="center"/>
                </w:tcPr>
                <w:p>
                  <w:pPr>
                    <w:jc w:val="center"/>
                    <w:rPr>
                      <w:sz w:val="21"/>
                      <w:szCs w:val="21"/>
                    </w:rPr>
                  </w:pPr>
                  <w:r>
                    <w:rPr>
                      <w:rFonts w:hint="eastAsia"/>
                      <w:sz w:val="21"/>
                      <w:szCs w:val="21"/>
                    </w:rPr>
                    <w:t>1.095</w:t>
                  </w:r>
                </w:p>
              </w:tc>
              <w:tc>
                <w:tcPr>
                  <w:tcW w:w="899" w:type="dxa"/>
                  <w:vAlign w:val="center"/>
                </w:tcPr>
                <w:p>
                  <w:pPr>
                    <w:widowControl/>
                    <w:jc w:val="center"/>
                    <w:textAlignment w:val="center"/>
                    <w:rPr>
                      <w:sz w:val="21"/>
                      <w:szCs w:val="21"/>
                    </w:rPr>
                  </w:pPr>
                  <w:r>
                    <w:rPr>
                      <w:color w:val="000000"/>
                      <w:kern w:val="0"/>
                      <w:sz w:val="21"/>
                      <w:szCs w:val="21"/>
                    </w:rPr>
                    <w:t>0.9855</w:t>
                  </w:r>
                </w:p>
              </w:tc>
              <w:tc>
                <w:tcPr>
                  <w:tcW w:w="812" w:type="dxa"/>
                  <w:vAlign w:val="center"/>
                </w:tcPr>
                <w:p>
                  <w:pPr>
                    <w:widowControl/>
                    <w:jc w:val="center"/>
                    <w:textAlignment w:val="center"/>
                    <w:rPr>
                      <w:sz w:val="21"/>
                      <w:szCs w:val="21"/>
                    </w:rPr>
                  </w:pPr>
                  <w:r>
                    <w:rPr>
                      <w:color w:val="000000"/>
                      <w:kern w:val="0"/>
                      <w:sz w:val="21"/>
                      <w:szCs w:val="21"/>
                    </w:rPr>
                    <w:t>0.1095</w:t>
                  </w:r>
                </w:p>
              </w:tc>
              <w:tc>
                <w:tcPr>
                  <w:tcW w:w="1187" w:type="dxa"/>
                  <w:vAlign w:val="center"/>
                </w:tcPr>
                <w:p>
                  <w:pPr>
                    <w:widowControl/>
                    <w:jc w:val="center"/>
                    <w:textAlignment w:val="center"/>
                    <w:rPr>
                      <w:color w:val="000000"/>
                      <w:sz w:val="21"/>
                      <w:szCs w:val="21"/>
                    </w:rPr>
                  </w:pPr>
                  <w:r>
                    <w:rPr>
                      <w:color w:val="000000"/>
                      <w:kern w:val="0"/>
                      <w:sz w:val="21"/>
                      <w:szCs w:val="21"/>
                    </w:rPr>
                    <w:t xml:space="preserve">0.0961 </w:t>
                  </w:r>
                </w:p>
              </w:tc>
              <w:tc>
                <w:tcPr>
                  <w:tcW w:w="853" w:type="dxa"/>
                  <w:vAlign w:val="center"/>
                </w:tcPr>
                <w:p>
                  <w:pPr>
                    <w:widowControl/>
                    <w:jc w:val="center"/>
                    <w:textAlignment w:val="center"/>
                    <w:rPr>
                      <w:sz w:val="21"/>
                      <w:szCs w:val="21"/>
                    </w:rPr>
                  </w:pPr>
                  <w:r>
                    <w:rPr>
                      <w:color w:val="000000"/>
                      <w:kern w:val="0"/>
                      <w:sz w:val="21"/>
                      <w:szCs w:val="21"/>
                    </w:rPr>
                    <w:t>0.1095</w:t>
                  </w:r>
                </w:p>
              </w:tc>
              <w:tc>
                <w:tcPr>
                  <w:tcW w:w="986" w:type="dxa"/>
                  <w:vAlign w:val="center"/>
                </w:tcPr>
                <w:p>
                  <w:pPr>
                    <w:widowControl/>
                    <w:jc w:val="center"/>
                    <w:textAlignment w:val="center"/>
                    <w:rPr>
                      <w:color w:val="000000"/>
                      <w:sz w:val="21"/>
                      <w:szCs w:val="21"/>
                    </w:rPr>
                  </w:pPr>
                  <w:r>
                    <w:rPr>
                      <w:color w:val="000000"/>
                      <w:kern w:val="0"/>
                      <w:sz w:val="21"/>
                      <w:szCs w:val="21"/>
                    </w:rPr>
                    <w:t>0.0027</w:t>
                  </w:r>
                </w:p>
              </w:tc>
            </w:tr>
          </w:tbl>
          <w:p>
            <w:pPr>
              <w:adjustRightInd w:val="0"/>
              <w:snapToGrid w:val="0"/>
              <w:spacing w:beforeLines="50" w:line="360" w:lineRule="auto"/>
              <w:ind w:firstLine="480" w:firstLineChars="200"/>
            </w:pPr>
            <w:r>
              <w:rPr>
                <w:rFonts w:hint="eastAsia"/>
              </w:rPr>
              <w:t>根据上表分析，本项目邓川污水厂提标改造之后，实现主要污染物削减量为COD：26.7232t/a，氨氮：0.3022t/a；右所污水厂主要污染物削减量为COD：7.0580t/a，氨氮：0.0610t/a，同时能够保证出水水质稳定达标。</w:t>
            </w:r>
          </w:p>
        </w:tc>
      </w:tr>
    </w:tbl>
    <w:p>
      <w:pPr>
        <w:pStyle w:val="3"/>
        <w:spacing w:before="0" w:after="0" w:line="360" w:lineRule="auto"/>
        <w:rPr>
          <w:bCs w:val="0"/>
          <w:kern w:val="0"/>
          <w:sz w:val="32"/>
          <w:szCs w:val="20"/>
        </w:rPr>
      </w:pPr>
      <w:r>
        <w:rPr>
          <w:sz w:val="30"/>
          <w:szCs w:val="30"/>
        </w:rPr>
        <w:br w:type="page"/>
      </w:r>
      <w:r>
        <w:rPr>
          <w:rStyle w:val="57"/>
          <w:b w:val="0"/>
        </w:rPr>
        <w:t>六</w:t>
      </w:r>
      <w:r>
        <w:rPr>
          <w:rStyle w:val="57"/>
          <w:rFonts w:hint="eastAsia"/>
          <w:b w:val="0"/>
        </w:rPr>
        <w:t>、</w:t>
      </w:r>
      <w:r>
        <w:rPr>
          <w:rStyle w:val="57"/>
          <w:b w:val="0"/>
        </w:rPr>
        <w:t>项目主要污染物产生及预计排放情况</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695"/>
        <w:gridCol w:w="1161"/>
        <w:gridCol w:w="1818"/>
        <w:gridCol w:w="1953"/>
        <w:gridCol w:w="24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25" w:type="dxa"/>
            <w:gridSpan w:val="2"/>
            <w:tcBorders>
              <w:top w:val="single" w:color="auto" w:sz="2" w:space="0"/>
              <w:left w:val="single" w:color="auto" w:sz="2" w:space="0"/>
              <w:bottom w:val="single" w:color="auto" w:sz="2" w:space="0"/>
              <w:right w:val="single" w:color="auto" w:sz="2" w:space="0"/>
              <w:tl2br w:val="single" w:color="auto" w:sz="2" w:space="0"/>
            </w:tcBorders>
            <w:vAlign w:val="center"/>
          </w:tcPr>
          <w:p>
            <w:pPr>
              <w:spacing w:line="288" w:lineRule="auto"/>
              <w:jc w:val="center"/>
              <w:rPr>
                <w:b/>
                <w:sz w:val="21"/>
                <w:szCs w:val="21"/>
              </w:rPr>
            </w:pPr>
            <w:r>
              <w:rPr>
                <w:rFonts w:hint="eastAsia"/>
                <w:b/>
                <w:sz w:val="21"/>
                <w:szCs w:val="21"/>
              </w:rPr>
              <w:t xml:space="preserve">     </w:t>
            </w:r>
            <w:r>
              <w:rPr>
                <w:b/>
                <w:sz w:val="21"/>
                <w:szCs w:val="21"/>
              </w:rPr>
              <w:t>内容</w:t>
            </w:r>
          </w:p>
          <w:p>
            <w:pPr>
              <w:spacing w:line="288" w:lineRule="auto"/>
              <w:rPr>
                <w:b/>
                <w:sz w:val="21"/>
                <w:szCs w:val="21"/>
              </w:rPr>
            </w:pPr>
            <w:r>
              <w:rPr>
                <w:b/>
                <w:sz w:val="21"/>
                <w:szCs w:val="21"/>
              </w:rPr>
              <w:t>类型</w:t>
            </w:r>
          </w:p>
        </w:tc>
        <w:tc>
          <w:tcPr>
            <w:tcW w:w="1161" w:type="dxa"/>
            <w:tcBorders>
              <w:top w:val="single" w:color="auto" w:sz="2" w:space="0"/>
              <w:left w:val="single" w:color="auto" w:sz="2" w:space="0"/>
              <w:bottom w:val="single" w:color="auto" w:sz="2" w:space="0"/>
              <w:right w:val="single" w:color="auto" w:sz="2" w:space="0"/>
            </w:tcBorders>
            <w:vAlign w:val="center"/>
          </w:tcPr>
          <w:p>
            <w:pPr>
              <w:spacing w:line="288" w:lineRule="auto"/>
              <w:jc w:val="center"/>
              <w:rPr>
                <w:b/>
                <w:sz w:val="21"/>
                <w:szCs w:val="21"/>
              </w:rPr>
            </w:pPr>
            <w:r>
              <w:rPr>
                <w:b/>
                <w:sz w:val="21"/>
                <w:szCs w:val="21"/>
              </w:rPr>
              <w:t>排放源</w:t>
            </w:r>
          </w:p>
        </w:tc>
        <w:tc>
          <w:tcPr>
            <w:tcW w:w="1818" w:type="dxa"/>
            <w:tcBorders>
              <w:top w:val="single" w:color="auto" w:sz="2" w:space="0"/>
              <w:left w:val="single" w:color="auto" w:sz="2" w:space="0"/>
              <w:bottom w:val="single" w:color="auto" w:sz="2" w:space="0"/>
              <w:right w:val="single" w:color="auto" w:sz="2" w:space="0"/>
            </w:tcBorders>
            <w:vAlign w:val="center"/>
          </w:tcPr>
          <w:p>
            <w:pPr>
              <w:pStyle w:val="72"/>
              <w:spacing w:line="288" w:lineRule="auto"/>
              <w:ind w:firstLine="0"/>
              <w:jc w:val="center"/>
              <w:rPr>
                <w:rFonts w:eastAsia="宋体"/>
                <w:b/>
                <w:sz w:val="21"/>
                <w:szCs w:val="21"/>
              </w:rPr>
            </w:pPr>
            <w:r>
              <w:rPr>
                <w:rFonts w:eastAsia="宋体"/>
                <w:b/>
                <w:sz w:val="21"/>
                <w:szCs w:val="21"/>
              </w:rPr>
              <w:t>污染物名称</w:t>
            </w:r>
          </w:p>
        </w:tc>
        <w:tc>
          <w:tcPr>
            <w:tcW w:w="1953" w:type="dxa"/>
            <w:tcBorders>
              <w:top w:val="single" w:color="auto" w:sz="2" w:space="0"/>
              <w:left w:val="single" w:color="auto" w:sz="2" w:space="0"/>
              <w:bottom w:val="single" w:color="auto" w:sz="2" w:space="0"/>
              <w:right w:val="single" w:color="auto" w:sz="2" w:space="0"/>
            </w:tcBorders>
            <w:vAlign w:val="center"/>
          </w:tcPr>
          <w:p>
            <w:pPr>
              <w:pStyle w:val="72"/>
              <w:spacing w:line="288" w:lineRule="auto"/>
              <w:ind w:firstLine="0"/>
              <w:jc w:val="center"/>
              <w:rPr>
                <w:rFonts w:eastAsia="宋体"/>
                <w:b/>
                <w:sz w:val="21"/>
                <w:szCs w:val="21"/>
              </w:rPr>
            </w:pPr>
            <w:r>
              <w:rPr>
                <w:rFonts w:eastAsia="宋体"/>
                <w:b/>
                <w:sz w:val="21"/>
                <w:szCs w:val="21"/>
              </w:rPr>
              <w:t>产生浓度及产生量</w:t>
            </w:r>
          </w:p>
        </w:tc>
        <w:tc>
          <w:tcPr>
            <w:tcW w:w="2423" w:type="dxa"/>
            <w:tcBorders>
              <w:top w:val="single" w:color="auto" w:sz="2" w:space="0"/>
              <w:left w:val="single" w:color="auto" w:sz="2" w:space="0"/>
              <w:bottom w:val="single" w:color="auto" w:sz="2" w:space="0"/>
              <w:right w:val="single" w:color="auto" w:sz="2" w:space="0"/>
            </w:tcBorders>
            <w:vAlign w:val="center"/>
          </w:tcPr>
          <w:p>
            <w:pPr>
              <w:spacing w:line="288" w:lineRule="auto"/>
              <w:jc w:val="center"/>
              <w:rPr>
                <w:b/>
                <w:sz w:val="21"/>
                <w:szCs w:val="21"/>
              </w:rPr>
            </w:pPr>
            <w:r>
              <w:rPr>
                <w:b/>
                <w:sz w:val="21"/>
                <w:szCs w:val="21"/>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spacing w:before="0" w:after="0" w:line="288" w:lineRule="auto"/>
              <w:textAlignment w:val="auto"/>
              <w:rPr>
                <w:bCs/>
                <w:sz w:val="21"/>
              </w:rPr>
            </w:pPr>
            <w:r>
              <w:rPr>
                <w:bCs/>
                <w:sz w:val="21"/>
              </w:rPr>
              <w:t>大气污染物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扬尘</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TSP</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spacing w:before="0" w:after="0" w:line="288" w:lineRule="auto"/>
              <w:textAlignment w:val="auto"/>
              <w:rPr>
                <w:bCs/>
                <w:sz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施工机械</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NOx、CO、THC</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94"/>
              <w:spacing w:before="0" w:after="0" w:line="288" w:lineRule="auto"/>
              <w:textAlignment w:val="auto"/>
              <w:rPr>
                <w:bCs/>
                <w:sz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管网焊接</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挥发性有机物</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8"/>
              <w:spacing w:before="0" w:after="0" w:line="288" w:lineRule="auto"/>
              <w:jc w:val="center"/>
              <w:rPr>
                <w:rFonts w:ascii="Times New Roman" w:hAnsi="Times New Roman" w:cs="Times New Roman"/>
                <w:bCs/>
                <w:sz w:val="21"/>
                <w:szCs w:val="21"/>
              </w:rPr>
            </w:pPr>
          </w:p>
        </w:tc>
        <w:tc>
          <w:tcPr>
            <w:tcW w:w="695" w:type="dxa"/>
            <w:tcBorders>
              <w:left w:val="single" w:color="auto" w:sz="2" w:space="0"/>
              <w:right w:val="single" w:color="auto" w:sz="2" w:space="0"/>
            </w:tcBorders>
            <w:vAlign w:val="center"/>
          </w:tcPr>
          <w:p>
            <w:pPr>
              <w:pStyle w:val="98"/>
              <w:spacing w:before="0" w:after="0" w:line="288" w:lineRule="auto"/>
              <w:jc w:val="center"/>
              <w:rPr>
                <w:rFonts w:ascii="Times New Roman" w:hAnsi="Times New Roman" w:cs="Times New Roman"/>
                <w:bCs/>
                <w:sz w:val="21"/>
                <w:szCs w:val="21"/>
              </w:rPr>
            </w:pPr>
            <w:r>
              <w:rPr>
                <w:rFonts w:ascii="Times New Roman" w:hAnsi="Times New Roman" w:cs="Times New Roman"/>
                <w:bCs/>
                <w:sz w:val="21"/>
                <w:szCs w:val="21"/>
              </w:rPr>
              <w:t>运营期</w:t>
            </w:r>
          </w:p>
        </w:tc>
        <w:tc>
          <w:tcPr>
            <w:tcW w:w="1161"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污水处理</w:t>
            </w:r>
            <w:r>
              <w:rPr>
                <w:rFonts w:hint="eastAsia"/>
                <w:bCs/>
                <w:sz w:val="21"/>
                <w:szCs w:val="21"/>
              </w:rPr>
              <w:t>单元</w:t>
            </w:r>
          </w:p>
        </w:tc>
        <w:tc>
          <w:tcPr>
            <w:tcW w:w="1818"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H</w:t>
            </w:r>
            <w:r>
              <w:rPr>
                <w:rFonts w:eastAsia="宋体"/>
                <w:bCs/>
                <w:sz w:val="21"/>
                <w:szCs w:val="21"/>
                <w:vertAlign w:val="subscript"/>
              </w:rPr>
              <w:t>2</w:t>
            </w:r>
            <w:r>
              <w:rPr>
                <w:rFonts w:eastAsia="宋体"/>
                <w:bCs/>
                <w:sz w:val="21"/>
                <w:szCs w:val="21"/>
              </w:rPr>
              <w:t>S、NH</w:t>
            </w:r>
            <w:r>
              <w:rPr>
                <w:rFonts w:eastAsia="宋体"/>
                <w:bCs/>
                <w:sz w:val="21"/>
                <w:szCs w:val="21"/>
                <w:vertAlign w:val="subscript"/>
              </w:rPr>
              <w:t>3</w:t>
            </w:r>
            <w:r>
              <w:rPr>
                <w:rFonts w:eastAsia="宋体"/>
                <w:bCs/>
                <w:sz w:val="21"/>
                <w:szCs w:val="21"/>
              </w:rPr>
              <w:t>、臭气浓度</w:t>
            </w:r>
          </w:p>
        </w:tc>
        <w:tc>
          <w:tcPr>
            <w:tcW w:w="1953"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spacing w:before="0" w:after="0" w:line="288" w:lineRule="auto"/>
              <w:textAlignment w:val="auto"/>
              <w:rPr>
                <w:bCs/>
                <w:sz w:val="21"/>
              </w:rPr>
            </w:pPr>
            <w:r>
              <w:rPr>
                <w:bCs/>
                <w:sz w:val="21"/>
              </w:rPr>
              <w:t>水污染物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right w:val="single" w:color="auto" w:sz="2" w:space="0"/>
            </w:tcBorders>
            <w:vAlign w:val="center"/>
          </w:tcPr>
          <w:p>
            <w:pPr>
              <w:spacing w:line="288" w:lineRule="auto"/>
              <w:jc w:val="center"/>
              <w:rPr>
                <w:bCs/>
                <w:sz w:val="21"/>
                <w:szCs w:val="21"/>
              </w:rPr>
            </w:pPr>
            <w:r>
              <w:rPr>
                <w:bCs/>
                <w:sz w:val="21"/>
                <w:szCs w:val="21"/>
              </w:rPr>
              <w:t>工程废水</w:t>
            </w:r>
          </w:p>
        </w:tc>
        <w:tc>
          <w:tcPr>
            <w:tcW w:w="1818" w:type="dxa"/>
            <w:tcBorders>
              <w:top w:val="single" w:color="auto" w:sz="2"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SS</w:t>
            </w:r>
          </w:p>
        </w:tc>
        <w:tc>
          <w:tcPr>
            <w:tcW w:w="1953"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200～5000mg/L</w:t>
            </w:r>
          </w:p>
        </w:tc>
        <w:tc>
          <w:tcPr>
            <w:tcW w:w="2423"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综合利用，不外排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spacing w:before="0" w:after="0" w:line="288" w:lineRule="auto"/>
              <w:textAlignment w:val="auto"/>
              <w:rPr>
                <w:bCs/>
                <w:sz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基坑废水</w:t>
            </w:r>
          </w:p>
        </w:tc>
        <w:tc>
          <w:tcPr>
            <w:tcW w:w="1818" w:type="dxa"/>
            <w:tcBorders>
              <w:top w:val="single" w:color="auto" w:sz="2"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SS</w:t>
            </w:r>
          </w:p>
        </w:tc>
        <w:tc>
          <w:tcPr>
            <w:tcW w:w="1953"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2423"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695" w:type="dxa"/>
            <w:vMerge w:val="continue"/>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施工人员</w:t>
            </w: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生活废水</w:t>
            </w:r>
          </w:p>
        </w:tc>
        <w:tc>
          <w:tcPr>
            <w:tcW w:w="1953" w:type="dxa"/>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2.4m</w:t>
            </w:r>
            <w:r>
              <w:rPr>
                <w:rFonts w:eastAsia="宋体"/>
                <w:bCs/>
                <w:sz w:val="21"/>
                <w:szCs w:val="21"/>
                <w:vertAlign w:val="superscript"/>
              </w:rPr>
              <w:t>3</w:t>
            </w:r>
            <w:r>
              <w:rPr>
                <w:rFonts w:eastAsia="宋体"/>
                <w:bCs/>
                <w:sz w:val="21"/>
                <w:szCs w:val="21"/>
              </w:rPr>
              <w:t>/d</w:t>
            </w:r>
          </w:p>
        </w:tc>
        <w:tc>
          <w:tcPr>
            <w:tcW w:w="2423" w:type="dxa"/>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综合利用，不外排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p>
        </w:tc>
        <w:tc>
          <w:tcPr>
            <w:tcW w:w="695" w:type="dxa"/>
            <w:vMerge w:val="restart"/>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运营期</w:t>
            </w:r>
          </w:p>
        </w:tc>
        <w:tc>
          <w:tcPr>
            <w:tcW w:w="1161" w:type="dxa"/>
            <w:vMerge w:val="restart"/>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污水处理厂污</w:t>
            </w:r>
            <w:r>
              <w:rPr>
                <w:rFonts w:hint="eastAsia" w:eastAsia="宋体"/>
                <w:bCs/>
                <w:sz w:val="21"/>
                <w:szCs w:val="21"/>
              </w:rPr>
              <w:t>水</w:t>
            </w: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COD</w:t>
            </w:r>
            <w:r>
              <w:rPr>
                <w:bCs/>
                <w:sz w:val="21"/>
                <w:szCs w:val="21"/>
                <w:vertAlign w:val="subscript"/>
              </w:rPr>
              <w:t>cr</w:t>
            </w:r>
          </w:p>
        </w:tc>
        <w:tc>
          <w:tcPr>
            <w:tcW w:w="1953" w:type="dxa"/>
            <w:tcBorders>
              <w:top w:val="single" w:color="auto" w:sz="4" w:space="0"/>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280</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30</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161"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NH</w:t>
            </w:r>
            <w:r>
              <w:rPr>
                <w:bCs/>
                <w:sz w:val="21"/>
                <w:szCs w:val="21"/>
                <w:vertAlign w:val="subscript"/>
              </w:rPr>
              <w:t>3</w:t>
            </w:r>
            <w:r>
              <w:rPr>
                <w:bCs/>
                <w:sz w:val="21"/>
                <w:szCs w:val="21"/>
              </w:rPr>
              <w:t>-N</w:t>
            </w:r>
          </w:p>
        </w:tc>
        <w:tc>
          <w:tcPr>
            <w:tcW w:w="195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15</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1.5</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161"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TN</w:t>
            </w:r>
          </w:p>
        </w:tc>
        <w:tc>
          <w:tcPr>
            <w:tcW w:w="195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35</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15</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730" w:type="dxa"/>
            <w:vMerge w:val="continue"/>
            <w:tcBorders>
              <w:left w:val="single" w:color="auto" w:sz="2" w:space="0"/>
              <w:bottom w:val="single" w:color="auto" w:sz="4"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161"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TP</w:t>
            </w:r>
          </w:p>
        </w:tc>
        <w:tc>
          <w:tcPr>
            <w:tcW w:w="195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3</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0.3</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spacing w:line="288" w:lineRule="auto"/>
              <w:jc w:val="center"/>
              <w:rPr>
                <w:bCs/>
                <w:sz w:val="21"/>
                <w:szCs w:val="21"/>
              </w:rPr>
            </w:pPr>
            <w:r>
              <w:rPr>
                <w:bCs/>
                <w:sz w:val="21"/>
                <w:szCs w:val="21"/>
              </w:rPr>
              <w:t>固体</w:t>
            </w:r>
          </w:p>
          <w:p>
            <w:pPr>
              <w:spacing w:line="288" w:lineRule="auto"/>
              <w:jc w:val="center"/>
              <w:rPr>
                <w:bCs/>
                <w:sz w:val="21"/>
                <w:szCs w:val="21"/>
              </w:rPr>
            </w:pPr>
            <w:r>
              <w:rPr>
                <w:bCs/>
                <w:sz w:val="21"/>
                <w:szCs w:val="21"/>
              </w:rPr>
              <w:t>废弃</w:t>
            </w:r>
          </w:p>
          <w:p>
            <w:pPr>
              <w:spacing w:line="288" w:lineRule="auto"/>
              <w:jc w:val="center"/>
              <w:rPr>
                <w:bCs/>
                <w:sz w:val="21"/>
                <w:szCs w:val="21"/>
              </w:rPr>
            </w:pPr>
            <w:r>
              <w:rPr>
                <w:bCs/>
                <w:sz w:val="21"/>
                <w:szCs w:val="21"/>
              </w:rPr>
              <w:t>物</w:t>
            </w:r>
          </w:p>
        </w:tc>
        <w:tc>
          <w:tcPr>
            <w:tcW w:w="695"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施工开挖</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土石方</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96000</w:t>
            </w:r>
            <w:r>
              <w:rPr>
                <w:rFonts w:eastAsia="宋体"/>
                <w:bCs/>
                <w:sz w:val="21"/>
                <w:szCs w:val="21"/>
              </w:rPr>
              <w:t>m</w:t>
            </w:r>
            <w:r>
              <w:rPr>
                <w:rFonts w:eastAsia="宋体"/>
                <w:bCs/>
                <w:sz w:val="21"/>
                <w:szCs w:val="21"/>
                <w:vertAlign w:val="superscript"/>
              </w:rPr>
              <w:t xml:space="preserve"> 3</w:t>
            </w:r>
          </w:p>
        </w:tc>
        <w:tc>
          <w:tcPr>
            <w:tcW w:w="2423" w:type="dxa"/>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96000</w:t>
            </w:r>
            <w:r>
              <w:rPr>
                <w:rFonts w:eastAsia="宋体"/>
                <w:bCs/>
                <w:sz w:val="21"/>
                <w:szCs w:val="21"/>
              </w:rPr>
              <w:t>m</w:t>
            </w:r>
            <w:r>
              <w:rPr>
                <w:rFonts w:eastAsia="宋体"/>
                <w:bCs/>
                <w:sz w:val="21"/>
                <w:szCs w:val="21"/>
                <w:vertAlign w:val="superscript"/>
              </w:rPr>
              <w:t xml:space="preserve"> 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施工人员</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生活垃圾</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16.8t</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16.8t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restart"/>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管道清掏</w:t>
            </w:r>
          </w:p>
        </w:tc>
        <w:tc>
          <w:tcPr>
            <w:tcW w:w="1818"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污泥</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少量</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restart"/>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污水处理厂</w:t>
            </w: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污泥</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0.4t/d，146t/a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格栅渣</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1.2t/d，438t/a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生活垃圾</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少量</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废机油</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3.6t/a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bottom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在线监测废液</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1.2t</w:t>
            </w:r>
            <w:r>
              <w:rPr>
                <w:rFonts w:eastAsia="宋体"/>
                <w:bCs/>
                <w:sz w:val="21"/>
                <w:szCs w:val="21"/>
              </w:rPr>
              <w: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spacing w:line="288" w:lineRule="auto"/>
              <w:jc w:val="center"/>
              <w:rPr>
                <w:bCs/>
                <w:sz w:val="21"/>
                <w:szCs w:val="21"/>
              </w:rPr>
            </w:pPr>
            <w:r>
              <w:rPr>
                <w:bCs/>
                <w:sz w:val="21"/>
                <w:szCs w:val="21"/>
              </w:rPr>
              <w:t>噪声</w:t>
            </w:r>
          </w:p>
        </w:tc>
        <w:tc>
          <w:tcPr>
            <w:tcW w:w="695"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小型施工机械</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噪声</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75～98B(A)</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sz w:val="21"/>
                <w:szCs w:val="21"/>
              </w:rPr>
            </w:pPr>
            <w:r>
              <w:rPr>
                <w:rFonts w:eastAsia="宋体"/>
                <w:sz w:val="21"/>
                <w:szCs w:val="21"/>
              </w:rPr>
              <w:t>昼间：≤70dB（A）</w:t>
            </w:r>
          </w:p>
          <w:p>
            <w:pPr>
              <w:spacing w:line="288" w:lineRule="auto"/>
              <w:jc w:val="center"/>
              <w:rPr>
                <w:sz w:val="21"/>
                <w:szCs w:val="21"/>
              </w:rPr>
            </w:pPr>
            <w:r>
              <w:rPr>
                <w:bCs/>
                <w:sz w:val="21"/>
                <w:szCs w:val="21"/>
              </w:rPr>
              <w:t>夜间：≤55</w:t>
            </w:r>
            <w:r>
              <w:rPr>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tcBorders>
              <w:top w:val="single" w:color="auto" w:sz="4" w:space="0"/>
              <w:left w:val="single" w:color="auto" w:sz="2" w:space="0"/>
              <w:bottom w:val="single" w:color="auto" w:sz="4" w:space="0"/>
              <w:right w:val="single" w:color="auto" w:sz="4" w:space="0"/>
            </w:tcBorders>
            <w:vAlign w:val="center"/>
          </w:tcPr>
          <w:p>
            <w:pPr>
              <w:pStyle w:val="72"/>
              <w:spacing w:line="288"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4"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鼓风机、提升泵、污泥回流泵</w:t>
            </w:r>
          </w:p>
        </w:tc>
        <w:tc>
          <w:tcPr>
            <w:tcW w:w="1818"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噪声</w:t>
            </w:r>
          </w:p>
        </w:tc>
        <w:tc>
          <w:tcPr>
            <w:tcW w:w="1953"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85～105B(A)</w:t>
            </w:r>
          </w:p>
        </w:tc>
        <w:tc>
          <w:tcPr>
            <w:tcW w:w="2423"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sz w:val="21"/>
                <w:szCs w:val="21"/>
              </w:rPr>
            </w:pPr>
            <w:r>
              <w:rPr>
                <w:rFonts w:eastAsia="宋体"/>
                <w:sz w:val="21"/>
                <w:szCs w:val="21"/>
              </w:rPr>
              <w:t>昼间：≤60dB（A）</w:t>
            </w:r>
          </w:p>
          <w:p>
            <w:pPr>
              <w:pStyle w:val="72"/>
              <w:spacing w:line="288" w:lineRule="auto"/>
              <w:ind w:firstLine="0"/>
              <w:jc w:val="center"/>
              <w:rPr>
                <w:rFonts w:eastAsia="宋体"/>
                <w:bCs/>
                <w:sz w:val="21"/>
                <w:szCs w:val="21"/>
              </w:rPr>
            </w:pPr>
            <w:r>
              <w:rPr>
                <w:rFonts w:eastAsia="宋体"/>
                <w:bCs/>
                <w:sz w:val="21"/>
                <w:szCs w:val="21"/>
              </w:rPr>
              <w:t>夜间：≤50</w:t>
            </w:r>
            <w:r>
              <w:rPr>
                <w:rFonts w:eastAsia="宋体"/>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tcBorders>
              <w:left w:val="single" w:color="auto" w:sz="2" w:space="0"/>
              <w:right w:val="single" w:color="auto" w:sz="2" w:space="0"/>
            </w:tcBorders>
            <w:vAlign w:val="center"/>
          </w:tcPr>
          <w:p>
            <w:pPr>
              <w:spacing w:line="288" w:lineRule="auto"/>
              <w:jc w:val="center"/>
              <w:rPr>
                <w:bCs/>
                <w:sz w:val="21"/>
                <w:szCs w:val="21"/>
              </w:rPr>
            </w:pPr>
            <w:r>
              <w:rPr>
                <w:bCs/>
                <w:sz w:val="21"/>
                <w:szCs w:val="21"/>
              </w:rPr>
              <w:t>其他</w:t>
            </w:r>
          </w:p>
        </w:tc>
        <w:tc>
          <w:tcPr>
            <w:tcW w:w="8050" w:type="dxa"/>
            <w:gridSpan w:val="5"/>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80" w:type="dxa"/>
            <w:gridSpan w:val="6"/>
            <w:tcBorders>
              <w:left w:val="single" w:color="auto" w:sz="2" w:space="0"/>
              <w:bottom w:val="single" w:color="auto" w:sz="2" w:space="0"/>
              <w:right w:val="single" w:color="auto" w:sz="2" w:space="0"/>
            </w:tcBorders>
            <w:vAlign w:val="center"/>
          </w:tcPr>
          <w:p>
            <w:pPr>
              <w:adjustRightInd w:val="0"/>
              <w:snapToGrid w:val="0"/>
              <w:spacing w:beforeLines="100" w:line="360" w:lineRule="auto"/>
              <w:rPr>
                <w:b/>
                <w:sz w:val="28"/>
                <w:szCs w:val="28"/>
              </w:rPr>
            </w:pPr>
            <w:r>
              <w:rPr>
                <w:b/>
                <w:sz w:val="28"/>
                <w:szCs w:val="28"/>
              </w:rPr>
              <w:t>主要生态影响（不够时可附另页）：</w:t>
            </w:r>
          </w:p>
          <w:p>
            <w:pPr>
              <w:adjustRightInd w:val="0"/>
              <w:snapToGrid w:val="0"/>
              <w:spacing w:line="360" w:lineRule="auto"/>
              <w:ind w:firstLine="480" w:firstLineChars="200"/>
              <w:rPr>
                <w:szCs w:val="24"/>
              </w:rPr>
            </w:pPr>
            <w:r>
              <w:rPr>
                <w:rFonts w:hint="eastAsia"/>
                <w:szCs w:val="24"/>
              </w:rPr>
              <w:t>本</w:t>
            </w:r>
            <w:r>
              <w:rPr>
                <w:szCs w:val="24"/>
              </w:rPr>
              <w:t>项目</w:t>
            </w:r>
            <w:r>
              <w:rPr>
                <w:rFonts w:hint="eastAsia"/>
                <w:szCs w:val="24"/>
              </w:rPr>
              <w:t>三座污水处理厂均在原有规划用地范围内建设，</w:t>
            </w:r>
            <w:r>
              <w:rPr>
                <w:szCs w:val="24"/>
              </w:rPr>
              <w:t>工程建设范围内均不涉及自然保护区、风景名胜区、文物古迹等敏感目标。建设过程的生态影响</w:t>
            </w:r>
            <w:r>
              <w:rPr>
                <w:rFonts w:hint="eastAsia"/>
                <w:szCs w:val="24"/>
              </w:rPr>
              <w:t>主要在管网新建和修复过程是产生，具体包括</w:t>
            </w:r>
            <w:r>
              <w:rPr>
                <w:szCs w:val="24"/>
              </w:rPr>
              <w:t>：</w:t>
            </w:r>
          </w:p>
          <w:p>
            <w:pPr>
              <w:adjustRightInd w:val="0"/>
              <w:snapToGrid w:val="0"/>
              <w:spacing w:line="360" w:lineRule="auto"/>
              <w:ind w:firstLine="482" w:firstLineChars="200"/>
              <w:rPr>
                <w:b/>
              </w:rPr>
            </w:pPr>
            <w:r>
              <w:rPr>
                <w:rFonts w:hint="eastAsia"/>
                <w:b/>
              </w:rPr>
              <w:t>（1）对土地利用的影响</w:t>
            </w:r>
          </w:p>
          <w:p>
            <w:pPr>
              <w:autoSpaceDE w:val="0"/>
              <w:autoSpaceDN w:val="0"/>
              <w:adjustRightInd w:val="0"/>
              <w:snapToGrid w:val="0"/>
              <w:spacing w:line="360" w:lineRule="auto"/>
              <w:ind w:firstLine="480" w:firstLineChars="200"/>
              <w:contextualSpacing/>
            </w:pPr>
            <w:r>
              <w:rPr>
                <w:rFonts w:hint="eastAsia"/>
              </w:rPr>
              <w:t>根据工程可研设计，本次工程不涉及征用土地，共借用土地18亩，主要作为管道施工时的临时材料及机械设备堆放、临时环保设施占地，土地已通过村镇协调解决，占用土地类型主要为乡村道路、村民农用地、农村集体用地等，均为临时占地，不会改变原有土地利用的功能，且不涉及村村民及原有建筑的拆迁，施工结束后产生的影响也随之结束。</w:t>
            </w:r>
          </w:p>
          <w:p>
            <w:pPr>
              <w:adjustRightInd w:val="0"/>
              <w:snapToGrid w:val="0"/>
              <w:spacing w:line="360" w:lineRule="auto"/>
              <w:ind w:firstLine="482" w:firstLineChars="200"/>
              <w:rPr>
                <w:b/>
                <w:bCs/>
              </w:rPr>
            </w:pPr>
            <w:r>
              <w:rPr>
                <w:rFonts w:hint="eastAsia"/>
                <w:b/>
                <w:bCs/>
              </w:rPr>
              <w:t>（2）对动、植物的影响</w:t>
            </w:r>
          </w:p>
          <w:p>
            <w:pPr>
              <w:autoSpaceDE w:val="0"/>
              <w:autoSpaceDN w:val="0"/>
              <w:adjustRightInd w:val="0"/>
              <w:snapToGrid w:val="0"/>
              <w:spacing w:line="360" w:lineRule="auto"/>
              <w:ind w:firstLine="480" w:firstLineChars="200"/>
              <w:contextualSpacing/>
            </w:pPr>
            <w:r>
              <w:rPr>
                <w:rFonts w:hint="eastAsia"/>
              </w:rPr>
              <w:t>项目大部分管网布设均位于村庄内，受人为活动影响较大，原生植被分布较小，大多为人工耕作地和稀疏灌木丛类，也不存在</w:t>
            </w:r>
            <w:r>
              <w:rPr>
                <w:rFonts w:hint="eastAsia"/>
                <w:bCs/>
                <w:szCs w:val="24"/>
              </w:rPr>
              <w:t>野生保护动物，大多为当地常见的鼠类等小型动物，且</w:t>
            </w:r>
            <w:r>
              <w:rPr>
                <w:rFonts w:hint="eastAsia"/>
              </w:rPr>
              <w:t>施工结束后产生的影响也随之结束。</w:t>
            </w:r>
          </w:p>
          <w:p>
            <w:pPr>
              <w:adjustRightInd w:val="0"/>
              <w:snapToGrid w:val="0"/>
              <w:spacing w:line="360" w:lineRule="auto"/>
              <w:ind w:firstLine="482" w:firstLineChars="200"/>
              <w:rPr>
                <w:b/>
                <w:bCs/>
              </w:rPr>
            </w:pPr>
            <w:r>
              <w:rPr>
                <w:rFonts w:hint="eastAsia"/>
                <w:b/>
                <w:bCs/>
              </w:rPr>
              <w:t>（3）水土流失的影响</w:t>
            </w:r>
          </w:p>
          <w:p>
            <w:pPr>
              <w:adjustRightInd w:val="0"/>
              <w:snapToGrid w:val="0"/>
              <w:spacing w:line="360" w:lineRule="auto"/>
              <w:ind w:firstLine="480" w:firstLineChars="200"/>
              <w:rPr>
                <w:b/>
                <w:bCs/>
                <w:szCs w:val="24"/>
              </w:rPr>
            </w:pPr>
            <w:r>
              <w:rPr>
                <w:rFonts w:hint="eastAsia"/>
                <w:bCs/>
              </w:rPr>
              <w:t>项目在管沟开挖过程中将有大量的土石方产生，开挖的土石方若不及时处理，随意堆置，暴雨时会被冲至项目周边道路，造成道路泥沙淤积，在雨天则会造成浑水浊流、道路泥泞，在晴天则会发生尘土飞扬、遮天蔽日的现象，影响道路环境，严重时造成街道路面积水，行人及行车不便，严重损害环境美好形象。</w:t>
            </w: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0" w:firstLineChars="0"/>
              <w:jc w:val="center"/>
              <w:rPr>
                <w:rFonts w:ascii="Times New Roman" w:hAnsi="Times New Roman"/>
                <w:sz w:val="21"/>
                <w:szCs w:val="21"/>
              </w:rPr>
            </w:pPr>
          </w:p>
          <w:p>
            <w:pPr>
              <w:pStyle w:val="83"/>
              <w:ind w:firstLine="0" w:firstLineChars="0"/>
              <w:jc w:val="center"/>
              <w:rPr>
                <w:rFonts w:ascii="Times New Roman" w:hAnsi="Times New Roman"/>
                <w:sz w:val="21"/>
                <w:szCs w:val="21"/>
              </w:rPr>
            </w:pPr>
          </w:p>
          <w:p>
            <w:pPr>
              <w:pStyle w:val="72"/>
              <w:spacing w:line="240" w:lineRule="auto"/>
              <w:ind w:firstLine="0"/>
              <w:jc w:val="center"/>
              <w:rPr>
                <w:rFonts w:eastAsia="宋体"/>
                <w:bCs/>
                <w:sz w:val="21"/>
                <w:szCs w:val="21"/>
              </w:rPr>
            </w:pPr>
          </w:p>
        </w:tc>
      </w:tr>
    </w:tbl>
    <w:p>
      <w:pPr>
        <w:pStyle w:val="3"/>
        <w:spacing w:before="0" w:after="0" w:line="360" w:lineRule="auto"/>
        <w:rPr>
          <w:sz w:val="30"/>
          <w:szCs w:val="30"/>
        </w:rPr>
        <w:sectPr>
          <w:footerReference r:id="rId14" w:type="default"/>
          <w:pgSz w:w="11906" w:h="16838"/>
          <w:pgMar w:top="1361" w:right="1531" w:bottom="794" w:left="1531" w:header="851" w:footer="737" w:gutter="0"/>
          <w:cols w:space="720" w:num="1"/>
          <w:docGrid w:type="lines" w:linePitch="312" w:charSpace="0"/>
        </w:sectPr>
      </w:pPr>
      <w:bookmarkStart w:id="17" w:name="_Toc19650"/>
    </w:p>
    <w:p>
      <w:pPr>
        <w:pStyle w:val="3"/>
        <w:spacing w:before="0" w:after="0" w:line="360" w:lineRule="auto"/>
        <w:rPr>
          <w:rStyle w:val="57"/>
          <w:b w:val="0"/>
        </w:rPr>
      </w:pPr>
      <w:r>
        <w:rPr>
          <w:rStyle w:val="57"/>
          <w:b w:val="0"/>
        </w:rPr>
        <w:t>七</w:t>
      </w:r>
      <w:r>
        <w:rPr>
          <w:rStyle w:val="57"/>
          <w:rFonts w:hint="eastAsia"/>
          <w:b w:val="0"/>
        </w:rPr>
        <w:t>、</w:t>
      </w:r>
      <w:r>
        <w:rPr>
          <w:rStyle w:val="57"/>
          <w:b w:val="0"/>
        </w:rPr>
        <w:t>环境影响分析</w:t>
      </w:r>
      <w:bookmarkEnd w:id="17"/>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5" w:hRule="atLeast"/>
          <w:jc w:val="center"/>
        </w:trPr>
        <w:tc>
          <w:tcPr>
            <w:tcW w:w="8820" w:type="dxa"/>
          </w:tcPr>
          <w:p>
            <w:pPr>
              <w:tabs>
                <w:tab w:val="left" w:pos="3615"/>
              </w:tabs>
              <w:adjustRightInd w:val="0"/>
              <w:snapToGrid w:val="0"/>
              <w:spacing w:beforeLines="50" w:line="360" w:lineRule="auto"/>
              <w:rPr>
                <w:b/>
                <w:bCs/>
                <w:sz w:val="30"/>
                <w:szCs w:val="30"/>
              </w:rPr>
            </w:pPr>
            <w:r>
              <w:rPr>
                <w:rFonts w:hint="eastAsia"/>
                <w:b/>
                <w:bCs/>
                <w:sz w:val="30"/>
                <w:szCs w:val="30"/>
              </w:rPr>
              <w:t>（一）</w:t>
            </w:r>
            <w:r>
              <w:rPr>
                <w:b/>
                <w:bCs/>
                <w:sz w:val="30"/>
                <w:szCs w:val="30"/>
              </w:rPr>
              <w:t>施工期环境影响分析</w:t>
            </w:r>
          </w:p>
          <w:p>
            <w:pPr>
              <w:tabs>
                <w:tab w:val="left" w:pos="3100"/>
              </w:tabs>
              <w:adjustRightInd w:val="0"/>
              <w:snapToGrid w:val="0"/>
              <w:spacing w:line="360" w:lineRule="auto"/>
              <w:ind w:firstLine="480" w:firstLineChars="200"/>
            </w:pPr>
            <w:r>
              <w:rPr>
                <w:rFonts w:hint="eastAsia"/>
              </w:rPr>
              <w:t>本项目为污水集中收集处理工程建设项目，属非污染型（不直接排放污染物）项目。项目建设对环境的影响主要表现在施工期。</w:t>
            </w:r>
          </w:p>
          <w:p>
            <w:pPr>
              <w:tabs>
                <w:tab w:val="left" w:pos="3100"/>
              </w:tabs>
              <w:adjustRightInd w:val="0"/>
              <w:snapToGrid w:val="0"/>
              <w:spacing w:line="360" w:lineRule="auto"/>
              <w:ind w:firstLine="480" w:firstLineChars="200"/>
            </w:pPr>
            <w:r>
              <w:rPr>
                <w:rFonts w:hint="eastAsia"/>
              </w:rPr>
              <w:t>本项目施工期内容主要包括邓川污水处理厂和右所污水处理厂的改造施工、牛街污水厂的新建施工，以及</w:t>
            </w:r>
            <w:r>
              <w:rPr>
                <w:rFonts w:hint="eastAsia"/>
                <w:szCs w:val="24"/>
              </w:rPr>
              <w:t>配套</w:t>
            </w:r>
            <w:r>
              <w:rPr>
                <w:szCs w:val="24"/>
              </w:rPr>
              <w:t>污水管道</w:t>
            </w:r>
            <w:r>
              <w:rPr>
                <w:rFonts w:hint="eastAsia"/>
                <w:szCs w:val="24"/>
              </w:rPr>
              <w:t>、</w:t>
            </w:r>
            <w:r>
              <w:rPr>
                <w:szCs w:val="24"/>
              </w:rPr>
              <w:t>检查井</w:t>
            </w:r>
            <w:r>
              <w:rPr>
                <w:rFonts w:hint="eastAsia"/>
                <w:szCs w:val="24"/>
              </w:rPr>
              <w:t>的</w:t>
            </w:r>
            <w:r>
              <w:rPr>
                <w:rFonts w:hint="eastAsia"/>
              </w:rPr>
              <w:t>新建和改造施工。</w:t>
            </w:r>
          </w:p>
          <w:p>
            <w:pPr>
              <w:tabs>
                <w:tab w:val="left" w:pos="3100"/>
              </w:tabs>
              <w:adjustRightInd w:val="0"/>
              <w:snapToGrid w:val="0"/>
              <w:spacing w:line="360" w:lineRule="auto"/>
              <w:ind w:firstLine="480" w:firstLineChars="200"/>
            </w:pPr>
            <w:r>
              <w:rPr>
                <w:rFonts w:hint="eastAsia"/>
              </w:rPr>
              <w:t>根据现场踏勘调查，目前三座污水处理厂均已经施工、调试完毕，均处于正常运行阶段。其中：邓川污水处理厂于2019年9月30日开工，2019年10月25日竣工，2019年11月~11月为试运行阶段；右所污水处理厂于2019年11月开工，2019年11月竣工，2019年11月~11月为试运行阶段；牛街污水处理厂于2019年11月开工，2020年3月竣工，2020年3月~6月为试运行阶段。</w:t>
            </w:r>
          </w:p>
          <w:p>
            <w:pPr>
              <w:tabs>
                <w:tab w:val="left" w:pos="3100"/>
              </w:tabs>
              <w:adjustRightInd w:val="0"/>
              <w:snapToGrid w:val="0"/>
              <w:spacing w:line="360" w:lineRule="auto"/>
              <w:ind w:firstLine="480" w:firstLineChars="200"/>
            </w:pPr>
            <w:r>
              <w:rPr>
                <w:rFonts w:hint="eastAsia"/>
              </w:rPr>
              <w:t>管网修复工程于2020年6月开工建设，预计竣工时间为2020年12月。</w:t>
            </w:r>
          </w:p>
          <w:p>
            <w:pPr>
              <w:tabs>
                <w:tab w:val="left" w:pos="3100"/>
              </w:tabs>
              <w:adjustRightInd w:val="0"/>
              <w:snapToGrid w:val="0"/>
              <w:spacing w:line="360" w:lineRule="auto"/>
              <w:ind w:firstLine="480" w:firstLineChars="200"/>
            </w:pPr>
            <w:r>
              <w:rPr>
                <w:rFonts w:hint="eastAsia"/>
              </w:rPr>
              <w:t>因此，本项目施工阶段对环境产生的影响主要从已完成污水处理厂工程内容的回顾性分析和后续管网施工内容两个方面进行分析。</w:t>
            </w:r>
          </w:p>
          <w:p>
            <w:pPr>
              <w:tabs>
                <w:tab w:val="left" w:pos="3100"/>
              </w:tabs>
              <w:adjustRightInd w:val="0"/>
              <w:snapToGrid w:val="0"/>
              <w:spacing w:line="360" w:lineRule="auto"/>
              <w:ind w:firstLine="562" w:firstLineChars="200"/>
              <w:rPr>
                <w:b/>
                <w:bCs/>
                <w:sz w:val="28"/>
                <w:szCs w:val="21"/>
              </w:rPr>
            </w:pPr>
            <w:r>
              <w:rPr>
                <w:rFonts w:hint="eastAsia"/>
                <w:b/>
                <w:bCs/>
                <w:sz w:val="28"/>
                <w:szCs w:val="21"/>
              </w:rPr>
              <w:t>1、已完成工程内容的回顾性影响分析</w:t>
            </w:r>
          </w:p>
          <w:p>
            <w:pPr>
              <w:tabs>
                <w:tab w:val="left" w:pos="3100"/>
              </w:tabs>
              <w:adjustRightInd w:val="0"/>
              <w:snapToGrid w:val="0"/>
              <w:spacing w:line="360" w:lineRule="auto"/>
              <w:ind w:firstLine="480" w:firstLineChars="200"/>
            </w:pPr>
            <w:r>
              <w:rPr>
                <w:rFonts w:hint="eastAsia"/>
              </w:rPr>
              <w:t>施工期的主要污染工序为三座污水处理厂主要构筑物建设过程中产生的废水、废气、噪声、固体废物，以及设备的安装和调试产生的噪声</w:t>
            </w:r>
            <w:r>
              <w:t>。</w:t>
            </w:r>
          </w:p>
          <w:p>
            <w:pPr>
              <w:tabs>
                <w:tab w:val="left" w:pos="3100"/>
              </w:tabs>
              <w:adjustRightInd w:val="0"/>
              <w:snapToGrid w:val="0"/>
              <w:spacing w:line="360" w:lineRule="auto"/>
              <w:ind w:firstLine="480" w:firstLineChars="200"/>
              <w:rPr>
                <w:color w:val="FF0000"/>
              </w:rPr>
            </w:pPr>
            <w:r>
              <w:rPr>
                <w:rFonts w:hint="eastAsia"/>
              </w:rPr>
              <w:t>根据现场踏勘、走访及询问调查，本项目三座污水处理厂施工期间均未收到有关废水、废气、噪声及固体废物等环境污染的投诉意见，也未发生有关环境污染的纠纷事件，项目施工期产生的施工废水、废气、噪声及固体废物通过采取措施后对环境造成的影响不大，现场踏勘时也未发现施工期遗留的环境污染及生态破坏问题。</w:t>
            </w:r>
          </w:p>
          <w:p>
            <w:pPr>
              <w:adjustRightInd w:val="0"/>
              <w:snapToGrid w:val="0"/>
              <w:spacing w:line="360" w:lineRule="auto"/>
              <w:ind w:firstLine="562" w:firstLineChars="200"/>
              <w:outlineLvl w:val="1"/>
              <w:rPr>
                <w:b/>
                <w:bCs/>
                <w:sz w:val="28"/>
                <w:szCs w:val="21"/>
              </w:rPr>
            </w:pPr>
            <w:r>
              <w:rPr>
                <w:rFonts w:hint="eastAsia"/>
                <w:b/>
                <w:bCs/>
                <w:sz w:val="28"/>
                <w:szCs w:val="21"/>
              </w:rPr>
              <w:t>2、后续施工内容的影响分析</w:t>
            </w:r>
          </w:p>
          <w:p>
            <w:pPr>
              <w:adjustRightInd w:val="0"/>
              <w:snapToGrid w:val="0"/>
              <w:spacing w:line="360" w:lineRule="auto"/>
              <w:ind w:firstLine="480" w:firstLineChars="200"/>
              <w:outlineLvl w:val="1"/>
              <w:rPr>
                <w:b/>
                <w:bCs/>
                <w:szCs w:val="24"/>
              </w:rPr>
            </w:pPr>
            <w:r>
              <w:rPr>
                <w:rFonts w:hint="eastAsia"/>
              </w:rPr>
              <w:t>项目后续在管道铺设、修复、清淤及检查井施工过程中会产生一定的粉尘、施工废水、噪声和固体废物；同时在管道铺设和检查井施工过程中还会造成较小的生态破坏和水土流失。</w:t>
            </w:r>
          </w:p>
          <w:p>
            <w:pPr>
              <w:adjustRightInd w:val="0"/>
              <w:snapToGrid w:val="0"/>
              <w:spacing w:line="360" w:lineRule="auto"/>
              <w:ind w:firstLine="482" w:firstLineChars="200"/>
              <w:rPr>
                <w:b/>
                <w:bCs/>
              </w:rPr>
            </w:pPr>
            <w:r>
              <w:rPr>
                <w:rFonts w:hint="eastAsia"/>
                <w:b/>
                <w:bCs/>
              </w:rPr>
              <w:t>1）大气环境影响分析</w:t>
            </w:r>
          </w:p>
          <w:p>
            <w:pPr>
              <w:adjustRightInd w:val="0"/>
              <w:snapToGrid w:val="0"/>
              <w:spacing w:line="360" w:lineRule="auto"/>
              <w:ind w:firstLine="480" w:firstLineChars="200"/>
            </w:pPr>
            <w:r>
              <w:rPr>
                <w:rFonts w:hint="eastAsia"/>
                <w:snapToGrid w:val="0"/>
                <w:szCs w:val="24"/>
              </w:rPr>
              <w:t>施工期大气污染源主要产生于污水管道、检查井的开挖、材料运输装卸等环节产生的扬尘，以及施工机械设备和管道焊接产生的废气。</w:t>
            </w:r>
          </w:p>
          <w:p>
            <w:pPr>
              <w:adjustRightInd w:val="0"/>
              <w:snapToGrid w:val="0"/>
              <w:spacing w:line="360" w:lineRule="auto"/>
              <w:ind w:firstLine="482" w:firstLineChars="200"/>
              <w:rPr>
                <w:b/>
                <w:bCs/>
              </w:rPr>
            </w:pPr>
            <w:r>
              <w:rPr>
                <w:rFonts w:hint="eastAsia"/>
                <w:b/>
                <w:bCs/>
              </w:rPr>
              <w:t>（1）扬尘</w:t>
            </w:r>
          </w:p>
          <w:p>
            <w:pPr>
              <w:adjustRightInd w:val="0"/>
              <w:snapToGrid w:val="0"/>
              <w:spacing w:line="360" w:lineRule="auto"/>
              <w:ind w:firstLine="480"/>
            </w:pPr>
            <w:r>
              <w:rPr>
                <w:rFonts w:hint="eastAsia"/>
              </w:rPr>
              <w:t>施工期对环境空气影响的主要污染物为TSP。</w:t>
            </w:r>
            <w:r>
              <w:t>项目</w:t>
            </w:r>
            <w:r>
              <w:rPr>
                <w:rFonts w:hint="eastAsia"/>
              </w:rPr>
              <w:t>管道、检查井等</w:t>
            </w:r>
            <w:r>
              <w:rPr>
                <w:rFonts w:hAnsi="宋体"/>
                <w:kern w:val="0"/>
              </w:rPr>
              <w:t>施工时，</w:t>
            </w:r>
            <w:r>
              <w:rPr>
                <w:rFonts w:hint="eastAsia" w:hAnsi="宋体"/>
                <w:kern w:val="0"/>
              </w:rPr>
              <w:t>基本</w:t>
            </w:r>
            <w:r>
              <w:rPr>
                <w:rFonts w:hAnsi="宋体"/>
                <w:kern w:val="0"/>
              </w:rPr>
              <w:t>采用开槽方法施工，必然在地面堆积回填土和部分弃土，</w:t>
            </w:r>
            <w:r>
              <w:rPr>
                <w:kern w:val="0"/>
              </w:rPr>
              <w:t>可在起动风速下形成扬尘。据类比调查，在大风情况下施工现场下风向1米处扬尘浓度可达3mg/m</w:t>
            </w:r>
            <w:r>
              <w:rPr>
                <w:kern w:val="0"/>
                <w:vertAlign w:val="superscript"/>
              </w:rPr>
              <w:t>3</w:t>
            </w:r>
            <w:r>
              <w:rPr>
                <w:kern w:val="0"/>
              </w:rPr>
              <w:t>以上，25米处为1.53mg/m</w:t>
            </w:r>
            <w:r>
              <w:rPr>
                <w:kern w:val="0"/>
                <w:vertAlign w:val="superscript"/>
              </w:rPr>
              <w:t>3</w:t>
            </w:r>
            <w:r>
              <w:rPr>
                <w:kern w:val="0"/>
              </w:rPr>
              <w:t>，下风向60米范围内TSP浓度超标，</w:t>
            </w:r>
            <w:r>
              <w:t>对施工现场及附近的环境空气质量影响较大。</w:t>
            </w:r>
            <w:r>
              <w:rPr>
                <w:rFonts w:hint="eastAsia"/>
              </w:rPr>
              <w:t>项目施工区均位于农村</w:t>
            </w:r>
            <w:r>
              <w:rPr>
                <w:rFonts w:hint="eastAsia" w:hAnsi="宋体"/>
              </w:rPr>
              <w:t>，周围均为</w:t>
            </w:r>
            <w:r>
              <w:rPr>
                <w:rFonts w:hint="eastAsia"/>
              </w:rPr>
              <w:t>村内的住户，</w:t>
            </w:r>
            <w:r>
              <w:t>如不采取有效的降尘措施，施工扬尘将对近距离内的</w:t>
            </w:r>
            <w:r>
              <w:rPr>
                <w:rFonts w:hint="eastAsia"/>
              </w:rPr>
              <w:t>村</w:t>
            </w:r>
            <w:r>
              <w:t>民点</w:t>
            </w:r>
            <w:r>
              <w:rPr>
                <w:rFonts w:hint="eastAsia"/>
              </w:rPr>
              <w:t>、商户</w:t>
            </w:r>
            <w:r>
              <w:t>产生影响。为减轻施工扬尘产生的不利影响，</w:t>
            </w:r>
            <w:r>
              <w:rPr>
                <w:rFonts w:hint="eastAsia"/>
              </w:rPr>
              <w:t>项目</w:t>
            </w:r>
            <w:r>
              <w:t>在建设过程中须采取一定的措施</w:t>
            </w:r>
            <w:r>
              <w:rPr>
                <w:rFonts w:hint="eastAsia"/>
              </w:rPr>
              <w:t>：</w:t>
            </w:r>
          </w:p>
          <w:p>
            <w:pPr>
              <w:adjustRightInd w:val="0"/>
              <w:snapToGrid w:val="0"/>
              <w:spacing w:line="360" w:lineRule="auto"/>
              <w:ind w:firstLine="480"/>
            </w:pPr>
            <w:r>
              <w:rPr>
                <w:rFonts w:hint="eastAsia"/>
              </w:rPr>
              <w:t>①设置施工围栏，</w:t>
            </w:r>
            <w:r>
              <w:t>在扬尘较</w:t>
            </w:r>
            <w:r>
              <w:rPr>
                <w:rFonts w:hint="eastAsia"/>
              </w:rPr>
              <w:t>严重</w:t>
            </w:r>
            <w:r>
              <w:t>的施工场面上采取湿法作业；</w:t>
            </w:r>
          </w:p>
          <w:p>
            <w:pPr>
              <w:adjustRightInd w:val="0"/>
              <w:snapToGrid w:val="0"/>
              <w:spacing w:line="360" w:lineRule="auto"/>
              <w:ind w:firstLine="480"/>
            </w:pPr>
            <w:r>
              <w:rPr>
                <w:rFonts w:hint="eastAsia"/>
              </w:rPr>
              <w:t>②及时清运施工废弃物，暂时不能清运的应采取覆盖等措施，运输沙、石、水泥、土方等易产尘物质的车辆必须封盖严密，严禁洒漏</w:t>
            </w:r>
            <w:r>
              <w:t>；</w:t>
            </w:r>
          </w:p>
          <w:p>
            <w:pPr>
              <w:adjustRightInd w:val="0"/>
              <w:snapToGrid w:val="0"/>
              <w:spacing w:line="360" w:lineRule="auto"/>
              <w:ind w:firstLine="480"/>
            </w:pPr>
            <w:r>
              <w:rPr>
                <w:rFonts w:hint="eastAsia"/>
              </w:rPr>
              <w:t>③材料堆放场、拌合场应距周围住户不少于50m，设在当地主导风向下风向处，同时根据实际情况合理选择灰土拌合方式，定期洒水降低扬尘污染。</w:t>
            </w:r>
          </w:p>
          <w:p>
            <w:pPr>
              <w:adjustRightInd w:val="0"/>
              <w:snapToGrid w:val="0"/>
              <w:spacing w:line="360" w:lineRule="auto"/>
              <w:ind w:firstLine="480"/>
            </w:pPr>
            <w:r>
              <w:rPr>
                <w:rFonts w:hint="eastAsia"/>
              </w:rPr>
              <w:t>通过采取以上扬尘防治措施，</w:t>
            </w:r>
            <w:r>
              <w:t>则施工期</w:t>
            </w:r>
            <w:r>
              <w:rPr>
                <w:rFonts w:hint="eastAsia"/>
              </w:rPr>
              <w:t>扬尘</w:t>
            </w:r>
            <w:r>
              <w:t>对环境空气</w:t>
            </w:r>
            <w:r>
              <w:rPr>
                <w:rFonts w:hint="eastAsia"/>
              </w:rPr>
              <w:t>质量及施工区周围居民、商户、单位</w:t>
            </w:r>
            <w:r>
              <w:t>所产生的影响可大大降低。</w:t>
            </w:r>
          </w:p>
          <w:p>
            <w:pPr>
              <w:pStyle w:val="13"/>
              <w:tabs>
                <w:tab w:val="left" w:pos="0"/>
              </w:tabs>
              <w:adjustRightInd w:val="0"/>
              <w:snapToGrid w:val="0"/>
              <w:spacing w:line="360" w:lineRule="auto"/>
              <w:ind w:firstLine="482" w:firstLineChars="200"/>
              <w:rPr>
                <w:b/>
                <w:bCs/>
                <w:szCs w:val="24"/>
              </w:rPr>
            </w:pPr>
            <w:r>
              <w:rPr>
                <w:rFonts w:hint="eastAsia"/>
                <w:b/>
                <w:bCs/>
                <w:szCs w:val="24"/>
              </w:rPr>
              <w:t>（2）</w:t>
            </w:r>
            <w:r>
              <w:rPr>
                <w:b/>
                <w:bCs/>
                <w:szCs w:val="24"/>
              </w:rPr>
              <w:t>施工机械废气</w:t>
            </w:r>
          </w:p>
          <w:p>
            <w:pPr>
              <w:pStyle w:val="13"/>
              <w:tabs>
                <w:tab w:val="left" w:pos="0"/>
              </w:tabs>
              <w:adjustRightInd w:val="0"/>
              <w:snapToGrid w:val="0"/>
              <w:spacing w:line="360" w:lineRule="auto"/>
              <w:ind w:firstLine="480" w:firstLineChars="200"/>
              <w:rPr>
                <w:szCs w:val="24"/>
              </w:rPr>
            </w:pPr>
            <w:r>
              <w:rPr>
                <w:szCs w:val="24"/>
              </w:rPr>
              <w:t>施工机械产生的废气</w:t>
            </w:r>
            <w:r>
              <w:rPr>
                <w:rFonts w:hint="eastAsia"/>
                <w:szCs w:val="24"/>
              </w:rPr>
              <w:t>主要</w:t>
            </w:r>
            <w:r>
              <w:rPr>
                <w:szCs w:val="24"/>
              </w:rPr>
              <w:t>为CO、NO</w:t>
            </w:r>
            <w:r>
              <w:rPr>
                <w:szCs w:val="24"/>
                <w:vertAlign w:val="subscript"/>
              </w:rPr>
              <w:t>X</w:t>
            </w:r>
            <w:r>
              <w:rPr>
                <w:szCs w:val="24"/>
              </w:rPr>
              <w:t>、碳氢化合物等，也是影响大气环境的主要污染物之一。</w:t>
            </w:r>
          </w:p>
          <w:p>
            <w:pPr>
              <w:pStyle w:val="13"/>
              <w:tabs>
                <w:tab w:val="left" w:pos="0"/>
              </w:tabs>
              <w:adjustRightInd w:val="0"/>
              <w:snapToGrid w:val="0"/>
              <w:spacing w:line="360" w:lineRule="auto"/>
              <w:ind w:firstLine="480" w:firstLineChars="200"/>
              <w:rPr>
                <w:szCs w:val="24"/>
              </w:rPr>
            </w:pPr>
            <w:r>
              <w:rPr>
                <w:rFonts w:hint="eastAsia"/>
                <w:szCs w:val="24"/>
              </w:rPr>
              <w:t>由于</w:t>
            </w:r>
            <w:r>
              <w:rPr>
                <w:szCs w:val="24"/>
              </w:rPr>
              <w:t>本项目</w:t>
            </w:r>
            <w:r>
              <w:rPr>
                <w:rFonts w:hint="eastAsia"/>
                <w:szCs w:val="24"/>
              </w:rPr>
              <w:t>后期主要为管网施工，</w:t>
            </w:r>
            <w:r>
              <w:rPr>
                <w:szCs w:val="24"/>
              </w:rPr>
              <w:t>工程</w:t>
            </w:r>
            <w:r>
              <w:rPr>
                <w:rFonts w:hint="eastAsia"/>
                <w:szCs w:val="24"/>
              </w:rPr>
              <w:t>量较为分散</w:t>
            </w:r>
            <w:r>
              <w:rPr>
                <w:szCs w:val="24"/>
              </w:rPr>
              <w:t>，项目施工时主要的施工机具</w:t>
            </w:r>
            <w:r>
              <w:rPr>
                <w:rFonts w:hint="eastAsia"/>
                <w:szCs w:val="24"/>
              </w:rPr>
              <w:t>也</w:t>
            </w:r>
            <w:r>
              <w:rPr>
                <w:szCs w:val="24"/>
              </w:rPr>
              <w:t>较分散</w:t>
            </w:r>
            <w:r>
              <w:rPr>
                <w:rFonts w:hint="eastAsia"/>
                <w:szCs w:val="24"/>
              </w:rPr>
              <w:t>，</w:t>
            </w:r>
            <w:r>
              <w:rPr>
                <w:szCs w:val="24"/>
              </w:rPr>
              <w:t>施工机具数量有限，尾气产生量较小。项目所在区域</w:t>
            </w:r>
            <w:r>
              <w:rPr>
                <w:rFonts w:hint="eastAsia"/>
                <w:szCs w:val="24"/>
              </w:rPr>
              <w:t>均为农村地区，</w:t>
            </w:r>
            <w:r>
              <w:rPr>
                <w:szCs w:val="24"/>
              </w:rPr>
              <w:t>场地空阔，空气流通较好，扩散较快，施工机具尾气</w:t>
            </w:r>
            <w:r>
              <w:rPr>
                <w:rFonts w:hint="eastAsia"/>
                <w:szCs w:val="24"/>
              </w:rPr>
              <w:t>经大气稀释扩散后，</w:t>
            </w:r>
            <w:r>
              <w:rPr>
                <w:szCs w:val="24"/>
              </w:rPr>
              <w:t>对</w:t>
            </w:r>
            <w:r>
              <w:rPr>
                <w:rFonts w:hint="eastAsia"/>
                <w:szCs w:val="24"/>
              </w:rPr>
              <w:t>周围</w:t>
            </w:r>
            <w:r>
              <w:rPr>
                <w:szCs w:val="24"/>
              </w:rPr>
              <w:t>环境空气影响较小。</w:t>
            </w:r>
          </w:p>
          <w:p>
            <w:pPr>
              <w:adjustRightInd w:val="0"/>
              <w:snapToGrid w:val="0"/>
              <w:spacing w:line="360" w:lineRule="auto"/>
              <w:ind w:firstLine="482" w:firstLineChars="200"/>
              <w:rPr>
                <w:b/>
                <w:bCs/>
                <w:snapToGrid w:val="0"/>
                <w:szCs w:val="24"/>
              </w:rPr>
            </w:pPr>
            <w:r>
              <w:rPr>
                <w:rFonts w:hint="eastAsia"/>
                <w:b/>
                <w:bCs/>
                <w:snapToGrid w:val="0"/>
                <w:szCs w:val="24"/>
              </w:rPr>
              <w:t>（3）焊接废气</w:t>
            </w:r>
          </w:p>
          <w:p>
            <w:pPr>
              <w:adjustRightInd w:val="0"/>
              <w:snapToGrid w:val="0"/>
              <w:spacing w:line="360" w:lineRule="auto"/>
              <w:ind w:firstLine="480" w:firstLineChars="200"/>
              <w:rPr>
                <w:snapToGrid w:val="0"/>
                <w:szCs w:val="24"/>
              </w:rPr>
            </w:pPr>
            <w:r>
              <w:rPr>
                <w:rFonts w:hint="eastAsia"/>
                <w:snapToGrid w:val="0"/>
                <w:szCs w:val="24"/>
              </w:rPr>
              <w:t>本项目在管网铺设过程中HDPE 钢带管、PVC 管、PE管均采用热熔连接，热熔过程中温度较高，塑料材质在高温状态下将会释放出少量的有毒有害物质；钢管在进行焊接时会产生光污染和焊接烟尘，均为间断、无组织排放。焊接废气由于粒径较大，一般情况下不会远距离扩散和运移，在大风情况下将很快被稀释扩散，不会对周围环境保护目标造成较大的影响。但为了减轻对施工人员产生的影响，应尽量采取以下防护措施：</w:t>
            </w:r>
          </w:p>
          <w:p>
            <w:pPr>
              <w:adjustRightInd w:val="0"/>
              <w:snapToGrid w:val="0"/>
              <w:spacing w:line="360" w:lineRule="auto"/>
              <w:ind w:firstLine="480" w:firstLineChars="200"/>
              <w:rPr>
                <w:snapToGrid w:val="0"/>
                <w:szCs w:val="24"/>
              </w:rPr>
            </w:pPr>
            <w:r>
              <w:rPr>
                <w:rFonts w:hint="eastAsia"/>
                <w:snapToGrid w:val="0"/>
                <w:szCs w:val="24"/>
              </w:rPr>
              <w:t>①施工人员在进行焊接作业施工时佩戴眼罩、口罩等防护面具，尽量避免直接接触焊接废气。</w:t>
            </w:r>
          </w:p>
          <w:p>
            <w:pPr>
              <w:adjustRightInd w:val="0"/>
              <w:snapToGrid w:val="0"/>
              <w:spacing w:line="360" w:lineRule="auto"/>
              <w:ind w:firstLine="480" w:firstLineChars="200"/>
              <w:rPr>
                <w:snapToGrid w:val="0"/>
                <w:szCs w:val="24"/>
              </w:rPr>
            </w:pPr>
            <w:r>
              <w:rPr>
                <w:rFonts w:hint="eastAsia"/>
                <w:snapToGrid w:val="0"/>
                <w:szCs w:val="24"/>
              </w:rPr>
              <w:t>②焊接作业人员尽量采取换班式作业，尽量避免同一人长时间接触对身体产生的影响。</w:t>
            </w:r>
          </w:p>
          <w:p>
            <w:pPr>
              <w:adjustRightInd w:val="0"/>
              <w:snapToGrid w:val="0"/>
              <w:spacing w:line="360" w:lineRule="auto"/>
              <w:ind w:firstLine="600" w:firstLineChars="249"/>
              <w:rPr>
                <w:b/>
              </w:rPr>
            </w:pPr>
            <w:r>
              <w:rPr>
                <w:rFonts w:hint="eastAsia"/>
                <w:b/>
              </w:rPr>
              <w:t>2）</w:t>
            </w:r>
            <w:r>
              <w:rPr>
                <w:rFonts w:hAnsi="宋体"/>
                <w:b/>
              </w:rPr>
              <w:t>水环境影响分析</w:t>
            </w:r>
          </w:p>
          <w:p>
            <w:pPr>
              <w:adjustRightInd w:val="0"/>
              <w:snapToGrid w:val="0"/>
              <w:spacing w:line="360" w:lineRule="auto"/>
              <w:ind w:firstLine="482" w:firstLineChars="200"/>
              <w:rPr>
                <w:szCs w:val="24"/>
              </w:rPr>
            </w:pPr>
            <w:r>
              <w:rPr>
                <w:b/>
                <w:bCs/>
                <w:szCs w:val="24"/>
              </w:rPr>
              <w:t>（1）基坑排水</w:t>
            </w:r>
          </w:p>
          <w:p>
            <w:pPr>
              <w:adjustRightInd w:val="0"/>
              <w:snapToGrid w:val="0"/>
              <w:spacing w:line="360" w:lineRule="auto"/>
              <w:ind w:firstLine="480" w:firstLineChars="200"/>
            </w:pPr>
            <w:r>
              <w:rPr>
                <w:szCs w:val="24"/>
              </w:rPr>
              <w:t>项目管网施工开挖时，由于开挖深度不大，基本不会产生地下涌水。但基坑在强降雨后，可能会产生少量的废水，由于项目管网为线性工程，施工区域较为分散，且周围大多为村民，商铺及乡村道路，难以实现基坑废水的综合回用。因此，本环评建议采用源头控制的措施，在管沟外缘两侧分别设置截排水沟，以拦截地面降水，尽量减少降雨顺地势混入沟槽内。同时，村镇街道处管沟两侧的地面临时排水沟尽可能的与道路</w:t>
            </w:r>
            <w:r>
              <w:rPr>
                <w:rFonts w:hint="eastAsia"/>
                <w:szCs w:val="24"/>
              </w:rPr>
              <w:t>原有</w:t>
            </w:r>
            <w:r>
              <w:rPr>
                <w:szCs w:val="24"/>
              </w:rPr>
              <w:t>的排水系统相结合，以便自流排水。</w:t>
            </w:r>
          </w:p>
          <w:p>
            <w:pPr>
              <w:adjustRightInd w:val="0"/>
              <w:snapToGrid w:val="0"/>
              <w:spacing w:line="360" w:lineRule="auto"/>
              <w:ind w:firstLine="482" w:firstLineChars="200"/>
              <w:rPr>
                <w:b/>
                <w:bCs/>
              </w:rPr>
            </w:pPr>
            <w:r>
              <w:rPr>
                <w:b/>
                <w:bCs/>
              </w:rPr>
              <w:t>（2）施工废水</w:t>
            </w:r>
          </w:p>
          <w:p>
            <w:pPr>
              <w:adjustRightInd w:val="0"/>
              <w:snapToGrid w:val="0"/>
              <w:spacing w:line="360" w:lineRule="auto"/>
              <w:ind w:firstLine="480" w:firstLineChars="200"/>
              <w:rPr>
                <w:rFonts w:hAnsi="宋体"/>
              </w:rPr>
            </w:pPr>
            <w:r>
              <w:t>施工废水主要来自于</w:t>
            </w:r>
            <w:r>
              <w:rPr>
                <w:szCs w:val="24"/>
              </w:rPr>
              <w:t>施工机械设备及车辆冲</w:t>
            </w:r>
            <w:r>
              <w:rPr>
                <w:rFonts w:hint="eastAsia"/>
                <w:szCs w:val="24"/>
              </w:rPr>
              <w:t>洗产生的废水等</w:t>
            </w:r>
            <w:r>
              <w:rPr>
                <w:rFonts w:hAnsi="宋体"/>
              </w:rPr>
              <w:t>。这类废水</w:t>
            </w:r>
            <w:r>
              <w:rPr>
                <w:rFonts w:hint="eastAsia" w:hAnsi="宋体"/>
              </w:rPr>
              <w:t>产生</w:t>
            </w:r>
            <w:r>
              <w:rPr>
                <w:rFonts w:hAnsi="宋体"/>
              </w:rPr>
              <w:t>量不大，废水中污染物主要是</w:t>
            </w:r>
            <w:r>
              <w:t>SS</w:t>
            </w:r>
            <w:r>
              <w:rPr>
                <w:rFonts w:hAnsi="宋体"/>
              </w:rPr>
              <w:t>、</w:t>
            </w:r>
            <w:r>
              <w:t>CODcr</w:t>
            </w:r>
            <w:r>
              <w:rPr>
                <w:rFonts w:hAnsi="宋体"/>
              </w:rPr>
              <w:t>、石油类等。</w:t>
            </w:r>
            <w:r>
              <w:rPr>
                <w:rFonts w:hint="eastAsia"/>
                <w:szCs w:val="24"/>
              </w:rPr>
              <w:t>由于工程较分散，整个工程集中某一点处理废水的方式无操作性。为此，根据工程施工分布情况，环评建议在管线沿线合适的位置分散设置多个小型临时沉淀池作为临时清洗点，施工机械和车辆分别进入最近的临时清洗点清洗，清洗废水经各处沉淀池沉淀处理后综合回用，不外排。</w:t>
            </w:r>
          </w:p>
          <w:p>
            <w:pPr>
              <w:adjustRightInd w:val="0"/>
              <w:snapToGrid w:val="0"/>
              <w:spacing w:line="360" w:lineRule="auto"/>
              <w:ind w:firstLine="482"/>
            </w:pPr>
            <w:r>
              <w:rPr>
                <w:rFonts w:hint="eastAsia" w:hAnsi="宋体"/>
              </w:rPr>
              <w:t>另外，由于管道施工面开</w:t>
            </w:r>
            <w:r>
              <w:rPr>
                <w:rFonts w:hint="eastAsia" w:ascii="宋体"/>
                <w:kern w:val="0"/>
              </w:rPr>
              <w:t>挖产生的土方一般均堆放在管沟两侧，遇较大降雨时如堆放土方未采取覆盖措施，含泥沙的雨水到处流淌，将对道路路面造成污染。</w:t>
            </w:r>
            <w:r>
              <w:rPr>
                <w:rFonts w:hint="eastAsia" w:hAnsi="宋体"/>
              </w:rPr>
              <w:t>且本</w:t>
            </w:r>
            <w:r>
              <w:rPr>
                <w:rFonts w:hAnsi="宋体"/>
              </w:rPr>
              <w:t>项目</w:t>
            </w:r>
            <w:r>
              <w:rPr>
                <w:rFonts w:hint="eastAsia" w:hAnsi="宋体"/>
              </w:rPr>
              <w:t>所有区域均</w:t>
            </w:r>
            <w:r>
              <w:rPr>
                <w:rFonts w:hAnsi="宋体"/>
              </w:rPr>
              <w:t>属洱海流域，</w:t>
            </w:r>
            <w:r>
              <w:rPr>
                <w:rFonts w:hint="eastAsia" w:hAnsi="宋体"/>
              </w:rPr>
              <w:t>项目区域内的地表水体均为洱海入湖河流，属于</w:t>
            </w:r>
            <w:r>
              <w:rPr>
                <w:rFonts w:hAnsi="宋体"/>
              </w:rPr>
              <w:t>洱海的保护范围</w:t>
            </w:r>
            <w:r>
              <w:rPr>
                <w:rFonts w:hint="eastAsia" w:hAnsi="宋体"/>
              </w:rPr>
              <w:t>，</w:t>
            </w:r>
            <w:r>
              <w:rPr>
                <w:rFonts w:hint="eastAsia" w:ascii="宋体"/>
                <w:kern w:val="0"/>
              </w:rPr>
              <w:t>含泥沙的雨水还将通过地表径流进入附近的地表水体，最终将对洱海水质造成影响。</w:t>
            </w:r>
            <w:r>
              <w:t>为避免雨季径流对周围</w:t>
            </w:r>
            <w:r>
              <w:rPr>
                <w:rFonts w:hint="eastAsia"/>
              </w:rPr>
              <w:t>地表</w:t>
            </w:r>
            <w:r>
              <w:t>水体产生</w:t>
            </w:r>
            <w:r>
              <w:rPr>
                <w:rFonts w:hint="eastAsia"/>
              </w:rPr>
              <w:t>的</w:t>
            </w:r>
            <w:r>
              <w:t>不利影响，项目</w:t>
            </w:r>
            <w:r>
              <w:rPr>
                <w:rFonts w:hint="eastAsia"/>
              </w:rPr>
              <w:t>须</w:t>
            </w:r>
            <w:r>
              <w:t>采取以下措施：</w:t>
            </w:r>
          </w:p>
          <w:p>
            <w:pPr>
              <w:adjustRightInd w:val="0"/>
              <w:snapToGrid w:val="0"/>
              <w:spacing w:line="360" w:lineRule="auto"/>
              <w:ind w:firstLine="480" w:firstLineChars="200"/>
            </w:pPr>
            <w:r>
              <w:rPr>
                <w:rFonts w:hint="eastAsia"/>
              </w:rPr>
              <w:t>①</w:t>
            </w:r>
            <w:r>
              <w:t>合理安排工期，避免在雨天进行土方作业；</w:t>
            </w:r>
          </w:p>
          <w:p>
            <w:pPr>
              <w:adjustRightInd w:val="0"/>
              <w:snapToGrid w:val="0"/>
              <w:spacing w:line="360" w:lineRule="auto"/>
              <w:ind w:firstLine="480" w:firstLineChars="200"/>
            </w:pPr>
            <w:r>
              <w:rPr>
                <w:rFonts w:hint="eastAsia"/>
              </w:rPr>
              <w:t>②</w:t>
            </w:r>
            <w:r>
              <w:t>雨天对粉状物料堆放场所和临时堆渣场进行必要的遮蔽，</w:t>
            </w:r>
            <w:r>
              <w:rPr>
                <w:rFonts w:hint="eastAsia"/>
              </w:rPr>
              <w:t>或是统一清运至固定地方暂存，</w:t>
            </w:r>
            <w:r>
              <w:t>减少雨水</w:t>
            </w:r>
            <w:r>
              <w:rPr>
                <w:rFonts w:hint="eastAsia"/>
              </w:rPr>
              <w:t>直接</w:t>
            </w:r>
            <w:r>
              <w:t>冲刷。</w:t>
            </w:r>
          </w:p>
          <w:p>
            <w:pPr>
              <w:adjustRightInd w:val="0"/>
              <w:snapToGrid w:val="0"/>
              <w:spacing w:line="360" w:lineRule="auto"/>
              <w:ind w:firstLine="480" w:firstLineChars="200"/>
            </w:pPr>
            <w:r>
              <w:t>采取以上措施后，雨季径流中的SS浓度可得到较大程度的降低，</w:t>
            </w:r>
            <w:r>
              <w:rPr>
                <w:rFonts w:hint="eastAsia" w:ascii="宋体" w:hAnsi="宋体"/>
                <w:bCs/>
              </w:rPr>
              <w:t>项目施工期</w:t>
            </w:r>
            <w:r>
              <w:rPr>
                <w:rFonts w:hint="eastAsia"/>
              </w:rPr>
              <w:t>对地表水环境影响不大。</w:t>
            </w:r>
          </w:p>
          <w:p>
            <w:pPr>
              <w:adjustRightInd w:val="0"/>
              <w:snapToGrid w:val="0"/>
              <w:spacing w:line="360" w:lineRule="auto"/>
              <w:ind w:firstLine="482" w:firstLineChars="200"/>
              <w:rPr>
                <w:b/>
                <w:bCs/>
              </w:rPr>
            </w:pPr>
            <w:r>
              <w:rPr>
                <w:b/>
                <w:bCs/>
              </w:rPr>
              <w:t>（3）生活污水</w:t>
            </w:r>
          </w:p>
          <w:p>
            <w:pPr>
              <w:adjustRightInd w:val="0"/>
              <w:snapToGrid w:val="0"/>
              <w:spacing w:line="360" w:lineRule="auto"/>
              <w:ind w:firstLine="480" w:firstLineChars="200"/>
            </w:pPr>
            <w:r>
              <w:rPr>
                <w:rFonts w:hint="eastAsia"/>
                <w:szCs w:val="24"/>
              </w:rPr>
              <w:t>由于本项目管道施工属于线性工程施工，施工范围较广，项目施工期间不设施工营地，施工人员为均为附近村民，施工人员生活粪便依托就近的村民厕所处理。施工期生活废水主要为工人清洗废水，根据工程施工分布情况，环评建议工人清洗统一设置在指定的地点，清洗废水经</w:t>
            </w:r>
            <w:r>
              <w:rPr>
                <w:rFonts w:hint="eastAsia"/>
              </w:rPr>
              <w:t>临时沉淀池收集后作为施工场地降尘用水，不外排。通过采取以上措施，施工期产生的生活污水可做到不外排，对项目区周围地表水的水质影响不大。</w:t>
            </w:r>
          </w:p>
          <w:p>
            <w:pPr>
              <w:spacing w:line="360" w:lineRule="auto"/>
              <w:ind w:firstLine="598" w:firstLineChars="248"/>
              <w:rPr>
                <w:b/>
              </w:rPr>
            </w:pPr>
            <w:r>
              <w:rPr>
                <w:rFonts w:hint="eastAsia"/>
                <w:b/>
              </w:rPr>
              <w:t>3、声环境</w:t>
            </w:r>
            <w:r>
              <w:rPr>
                <w:rFonts w:hAnsi="宋体"/>
                <w:b/>
              </w:rPr>
              <w:t>影响分析</w:t>
            </w:r>
          </w:p>
          <w:p>
            <w:pPr>
              <w:spacing w:line="360" w:lineRule="auto"/>
              <w:ind w:firstLine="480" w:firstLineChars="200"/>
              <w:rPr>
                <w:rFonts w:ascii="宋体" w:hAnsi="宋体"/>
                <w:spacing w:val="-8"/>
                <w:kern w:val="24"/>
              </w:rPr>
            </w:pPr>
            <w:r>
              <w:rPr>
                <w:rFonts w:hint="eastAsia" w:ascii="宋体" w:hAnsi="宋体"/>
              </w:rPr>
              <w:t>由工程污染源分析可知，施工场地噪声源主要为各类高噪声施工机械，且各施工阶段均有大量的机械设备于现场运行，这些施工设备均无法防护，</w:t>
            </w:r>
            <w:r>
              <w:rPr>
                <w:rFonts w:hint="eastAsia" w:ascii="宋体" w:hAnsi="宋体"/>
                <w:spacing w:val="-8"/>
                <w:kern w:val="24"/>
              </w:rPr>
              <w:t>在考虑该工程噪声源对环境影响的同时，仅考虑点声源到不同距离处经距离衰减后的噪声，计算出声源对附近敏感点的贡献值，并对声源的贡献值进行分析。根据</w:t>
            </w:r>
            <w:r>
              <w:rPr>
                <w:rFonts w:hAnsi="宋体"/>
              </w:rPr>
              <w:t>《环境影响评价技术导则</w:t>
            </w:r>
            <w:r>
              <w:t xml:space="preserve"> </w:t>
            </w:r>
            <w:r>
              <w:rPr>
                <w:rFonts w:hAnsi="宋体"/>
              </w:rPr>
              <w:t>声环境》</w:t>
            </w:r>
            <w:r>
              <w:rPr>
                <w:rFonts w:hint="eastAsia" w:hAnsi="宋体"/>
              </w:rPr>
              <w:t>（</w:t>
            </w:r>
            <w:r>
              <w:t>HJ/T2.4—</w:t>
            </w:r>
            <w:r>
              <w:rPr>
                <w:rFonts w:hint="eastAsia"/>
              </w:rPr>
              <w:t>2009</w:t>
            </w:r>
            <w:r>
              <w:rPr>
                <w:rFonts w:hint="eastAsia" w:hAnsi="宋体"/>
              </w:rPr>
              <w:t>）</w:t>
            </w:r>
            <w:r>
              <w:rPr>
                <w:rFonts w:hint="eastAsia"/>
              </w:rPr>
              <w:t>，</w:t>
            </w:r>
            <w:r>
              <w:rPr>
                <w:rFonts w:hint="eastAsia" w:ascii="宋体" w:hAnsi="宋体"/>
                <w:spacing w:val="-8"/>
                <w:kern w:val="24"/>
              </w:rPr>
              <w:t>噪声预测值计算模式如下：</w:t>
            </w:r>
          </w:p>
          <w:p>
            <w:pPr>
              <w:spacing w:line="360" w:lineRule="auto"/>
              <w:ind w:firstLine="1120" w:firstLineChars="500"/>
              <w:rPr>
                <w:spacing w:val="-8"/>
                <w:kern w:val="24"/>
                <w:lang w:val="pt-BR"/>
              </w:rPr>
            </w:pPr>
            <w:r>
              <w:rPr>
                <w:spacing w:val="-8"/>
                <w:kern w:val="24"/>
                <w:lang w:val="pt-BR"/>
              </w:rPr>
              <w:t>L</w:t>
            </w:r>
            <w:r>
              <w:rPr>
                <w:spacing w:val="-8"/>
                <w:kern w:val="24"/>
                <w:vertAlign w:val="subscript"/>
                <w:lang w:val="pt-BR"/>
              </w:rPr>
              <w:t>A</w:t>
            </w:r>
            <w:r>
              <w:rPr>
                <w:spacing w:val="-8"/>
                <w:kern w:val="24"/>
                <w:lang w:val="pt-BR"/>
              </w:rPr>
              <w:t>（r）=L</w:t>
            </w:r>
            <w:r>
              <w:rPr>
                <w:spacing w:val="-8"/>
                <w:kern w:val="24"/>
                <w:vertAlign w:val="subscript"/>
                <w:lang w:val="pt-BR"/>
              </w:rPr>
              <w:t>A</w:t>
            </w:r>
            <w:r>
              <w:rPr>
                <w:spacing w:val="-8"/>
                <w:kern w:val="24"/>
                <w:lang w:val="pt-BR"/>
              </w:rPr>
              <w:t>（r</w:t>
            </w:r>
            <w:r>
              <w:rPr>
                <w:spacing w:val="-8"/>
                <w:kern w:val="24"/>
                <w:vertAlign w:val="subscript"/>
                <w:lang w:val="pt-BR"/>
              </w:rPr>
              <w:t>o</w:t>
            </w:r>
            <w:r>
              <w:rPr>
                <w:spacing w:val="-8"/>
                <w:kern w:val="24"/>
                <w:lang w:val="pt-BR"/>
              </w:rPr>
              <w:t>）-(A</w:t>
            </w:r>
            <w:r>
              <w:rPr>
                <w:spacing w:val="-8"/>
                <w:kern w:val="24"/>
                <w:vertAlign w:val="subscript"/>
                <w:lang w:val="pt-BR"/>
              </w:rPr>
              <w:t>div</w:t>
            </w:r>
            <w:r>
              <w:rPr>
                <w:spacing w:val="-8"/>
                <w:kern w:val="24"/>
                <w:lang w:val="pt-BR"/>
              </w:rPr>
              <w:t>+A</w:t>
            </w:r>
            <w:r>
              <w:rPr>
                <w:spacing w:val="-8"/>
                <w:kern w:val="24"/>
                <w:vertAlign w:val="subscript"/>
                <w:lang w:val="pt-BR"/>
              </w:rPr>
              <w:t>atm</w:t>
            </w:r>
            <w:r>
              <w:rPr>
                <w:spacing w:val="-8"/>
                <w:kern w:val="24"/>
                <w:lang w:val="pt-BR"/>
              </w:rPr>
              <w:t xml:space="preserve"> +A</w:t>
            </w:r>
            <w:r>
              <w:rPr>
                <w:rFonts w:hint="eastAsia"/>
                <w:spacing w:val="-8"/>
                <w:kern w:val="24"/>
                <w:vertAlign w:val="subscript"/>
                <w:lang w:val="pt-BR"/>
              </w:rPr>
              <w:t>gr</w:t>
            </w:r>
            <w:r>
              <w:rPr>
                <w:spacing w:val="-8"/>
                <w:kern w:val="24"/>
                <w:lang w:val="pt-BR"/>
              </w:rPr>
              <w:t xml:space="preserve"> +A</w:t>
            </w:r>
            <w:r>
              <w:rPr>
                <w:spacing w:val="-8"/>
                <w:kern w:val="24"/>
                <w:vertAlign w:val="subscript"/>
                <w:lang w:val="pt-BR"/>
              </w:rPr>
              <w:t>bar</w:t>
            </w:r>
            <w:r>
              <w:rPr>
                <w:spacing w:val="-8"/>
                <w:kern w:val="24"/>
                <w:lang w:val="pt-BR"/>
              </w:rPr>
              <w:t xml:space="preserve"> + A</w:t>
            </w:r>
            <w:r>
              <w:rPr>
                <w:rFonts w:hint="eastAsia"/>
                <w:spacing w:val="-8"/>
                <w:kern w:val="24"/>
                <w:vertAlign w:val="subscript"/>
                <w:lang w:val="pt-BR"/>
              </w:rPr>
              <w:t>misc</w:t>
            </w:r>
            <w:r>
              <w:rPr>
                <w:spacing w:val="-8"/>
                <w:kern w:val="24"/>
                <w:lang w:val="pt-BR"/>
              </w:rPr>
              <w:t xml:space="preserve"> )</w:t>
            </w:r>
          </w:p>
          <w:p>
            <w:pPr>
              <w:spacing w:line="360" w:lineRule="auto"/>
              <w:ind w:firstLine="448" w:firstLineChars="200"/>
              <w:rPr>
                <w:spacing w:val="-8"/>
                <w:kern w:val="24"/>
              </w:rPr>
            </w:pPr>
            <w:r>
              <w:rPr>
                <w:rFonts w:hAnsi="宋体"/>
                <w:spacing w:val="-8"/>
                <w:kern w:val="24"/>
              </w:rPr>
              <w:t>式中：</w:t>
            </w:r>
            <w:r>
              <w:rPr>
                <w:spacing w:val="-8"/>
                <w:kern w:val="24"/>
              </w:rPr>
              <w:t>L</w:t>
            </w:r>
            <w:r>
              <w:rPr>
                <w:spacing w:val="-8"/>
                <w:kern w:val="24"/>
                <w:vertAlign w:val="subscript"/>
              </w:rPr>
              <w:t>A</w:t>
            </w:r>
            <w:r>
              <w:rPr>
                <w:spacing w:val="-8"/>
                <w:kern w:val="24"/>
              </w:rPr>
              <w:t>（r）——距声源r处的A声级，dB；</w:t>
            </w:r>
          </w:p>
          <w:p>
            <w:pPr>
              <w:spacing w:line="360" w:lineRule="auto"/>
              <w:ind w:firstLine="1120" w:firstLineChars="500"/>
              <w:rPr>
                <w:spacing w:val="-8"/>
                <w:kern w:val="24"/>
              </w:rPr>
            </w:pPr>
            <w:r>
              <w:rPr>
                <w:spacing w:val="-8"/>
                <w:kern w:val="24"/>
              </w:rPr>
              <w:t>L</w:t>
            </w:r>
            <w:r>
              <w:rPr>
                <w:spacing w:val="-8"/>
                <w:kern w:val="24"/>
                <w:vertAlign w:val="subscript"/>
              </w:rPr>
              <w:t>A</w:t>
            </w:r>
            <w:r>
              <w:rPr>
                <w:rFonts w:hAnsi="宋体"/>
                <w:spacing w:val="-8"/>
                <w:kern w:val="24"/>
              </w:rPr>
              <w:t>（</w:t>
            </w:r>
            <w:r>
              <w:rPr>
                <w:spacing w:val="-8"/>
                <w:kern w:val="24"/>
              </w:rPr>
              <w:t>r</w:t>
            </w:r>
            <w:r>
              <w:rPr>
                <w:spacing w:val="-8"/>
                <w:kern w:val="24"/>
                <w:vertAlign w:val="subscript"/>
              </w:rPr>
              <w:t>o</w:t>
            </w:r>
            <w:r>
              <w:rPr>
                <w:rFonts w:hAnsi="宋体"/>
                <w:spacing w:val="-8"/>
                <w:kern w:val="24"/>
              </w:rPr>
              <w:t>）</w:t>
            </w:r>
            <w:r>
              <w:rPr>
                <w:spacing w:val="-8"/>
                <w:kern w:val="24"/>
              </w:rPr>
              <w:t>——</w:t>
            </w:r>
            <w:r>
              <w:rPr>
                <w:rFonts w:hAnsi="宋体"/>
                <w:spacing w:val="-8"/>
                <w:kern w:val="24"/>
              </w:rPr>
              <w:t>参考位置</w:t>
            </w:r>
            <w:r>
              <w:rPr>
                <w:spacing w:val="-8"/>
                <w:kern w:val="24"/>
              </w:rPr>
              <w:t>ro</w:t>
            </w:r>
            <w:r>
              <w:rPr>
                <w:rFonts w:hAnsi="宋体"/>
                <w:spacing w:val="-8"/>
                <w:kern w:val="24"/>
              </w:rPr>
              <w:t>处的</w:t>
            </w:r>
            <w:r>
              <w:rPr>
                <w:spacing w:val="-8"/>
                <w:kern w:val="24"/>
              </w:rPr>
              <w:t>A</w:t>
            </w:r>
            <w:r>
              <w:rPr>
                <w:rFonts w:hAnsi="宋体"/>
                <w:spacing w:val="-8"/>
                <w:kern w:val="24"/>
              </w:rPr>
              <w:t>声级，</w:t>
            </w:r>
            <w:r>
              <w:rPr>
                <w:spacing w:val="-8"/>
                <w:kern w:val="24"/>
              </w:rPr>
              <w:t>dB</w:t>
            </w:r>
            <w:r>
              <w:rPr>
                <w:rFonts w:hAnsi="宋体"/>
                <w:spacing w:val="-8"/>
                <w:kern w:val="24"/>
              </w:rPr>
              <w:t>；</w:t>
            </w:r>
          </w:p>
          <w:p>
            <w:pPr>
              <w:spacing w:line="360" w:lineRule="auto"/>
              <w:ind w:firstLine="1120" w:firstLineChars="500"/>
              <w:rPr>
                <w:spacing w:val="-8"/>
                <w:kern w:val="24"/>
                <w:lang w:val="pt-BR"/>
              </w:rPr>
            </w:pPr>
            <w:r>
              <w:rPr>
                <w:spacing w:val="-8"/>
                <w:kern w:val="24"/>
              </w:rPr>
              <w:t>A</w:t>
            </w:r>
            <w:r>
              <w:rPr>
                <w:spacing w:val="-8"/>
                <w:kern w:val="24"/>
                <w:vertAlign w:val="subscript"/>
              </w:rPr>
              <w:t>div</w:t>
            </w:r>
            <w:r>
              <w:rPr>
                <w:spacing w:val="-8"/>
                <w:kern w:val="24"/>
              </w:rPr>
              <w:t>——</w:t>
            </w:r>
            <w:r>
              <w:rPr>
                <w:rFonts w:hAnsi="宋体"/>
                <w:spacing w:val="-8"/>
                <w:kern w:val="24"/>
              </w:rPr>
              <w:t>声波几何发散引起的</w:t>
            </w:r>
            <w:r>
              <w:rPr>
                <w:spacing w:val="-8"/>
                <w:kern w:val="24"/>
              </w:rPr>
              <w:t>A</w:t>
            </w:r>
            <w:r>
              <w:rPr>
                <w:rFonts w:hAnsi="宋体"/>
                <w:spacing w:val="-8"/>
                <w:kern w:val="24"/>
              </w:rPr>
              <w:t>声级衰减量</w:t>
            </w:r>
            <w:r>
              <w:rPr>
                <w:spacing w:val="-8"/>
                <w:kern w:val="24"/>
              </w:rPr>
              <w:t xml:space="preserve">dB </w:t>
            </w:r>
            <w:r>
              <w:rPr>
                <w:rFonts w:hAnsi="宋体"/>
                <w:spacing w:val="-8"/>
                <w:kern w:val="24"/>
              </w:rPr>
              <w:t>，</w:t>
            </w:r>
            <w:r>
              <w:rPr>
                <w:spacing w:val="-8"/>
                <w:kern w:val="24"/>
                <w:lang w:val="pt-BR"/>
              </w:rPr>
              <w:t>A</w:t>
            </w:r>
            <w:r>
              <w:rPr>
                <w:spacing w:val="-8"/>
                <w:kern w:val="24"/>
                <w:vertAlign w:val="subscript"/>
                <w:lang w:val="pt-BR"/>
              </w:rPr>
              <w:t>div</w:t>
            </w:r>
            <w:r>
              <w:rPr>
                <w:spacing w:val="-8"/>
                <w:kern w:val="24"/>
                <w:lang w:val="pt-BR"/>
              </w:rPr>
              <w:t>=20lg</w:t>
            </w:r>
            <w:r>
              <w:rPr>
                <w:rFonts w:hAnsi="宋体"/>
                <w:spacing w:val="-8"/>
                <w:kern w:val="24"/>
                <w:lang w:val="pt-BR"/>
              </w:rPr>
              <w:t>（</w:t>
            </w:r>
            <w:r>
              <w:rPr>
                <w:spacing w:val="-8"/>
                <w:kern w:val="24"/>
                <w:lang w:val="pt-BR"/>
              </w:rPr>
              <w:t>r/ r</w:t>
            </w:r>
            <w:r>
              <w:rPr>
                <w:spacing w:val="-8"/>
                <w:kern w:val="24"/>
                <w:vertAlign w:val="subscript"/>
                <w:lang w:val="pt-BR"/>
              </w:rPr>
              <w:t>o</w:t>
            </w:r>
            <w:r>
              <w:rPr>
                <w:rFonts w:hAnsi="宋体"/>
                <w:spacing w:val="-8"/>
                <w:kern w:val="24"/>
                <w:lang w:val="pt-BR"/>
              </w:rPr>
              <w:t>）</w:t>
            </w:r>
          </w:p>
          <w:p>
            <w:pPr>
              <w:spacing w:line="360" w:lineRule="auto"/>
              <w:ind w:firstLine="1120" w:firstLineChars="500"/>
              <w:rPr>
                <w:spacing w:val="-8"/>
                <w:kern w:val="24"/>
              </w:rPr>
            </w:pPr>
            <w:r>
              <w:rPr>
                <w:spacing w:val="-8"/>
                <w:kern w:val="24"/>
              </w:rPr>
              <w:t>A</w:t>
            </w:r>
            <w:r>
              <w:rPr>
                <w:spacing w:val="-8"/>
                <w:kern w:val="24"/>
                <w:vertAlign w:val="subscript"/>
              </w:rPr>
              <w:t>atm</w:t>
            </w:r>
            <w:r>
              <w:rPr>
                <w:spacing w:val="-8"/>
                <w:kern w:val="24"/>
              </w:rPr>
              <w:t>——</w:t>
            </w:r>
            <w:r>
              <w:rPr>
                <w:rFonts w:hint="eastAsia"/>
                <w:spacing w:val="-8"/>
                <w:kern w:val="24"/>
              </w:rPr>
              <w:t>大</w:t>
            </w:r>
            <w:r>
              <w:rPr>
                <w:rFonts w:hAnsi="宋体"/>
                <w:spacing w:val="-8"/>
                <w:kern w:val="24"/>
              </w:rPr>
              <w:t>气吸收引起的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1120" w:firstLineChars="500"/>
              <w:rPr>
                <w:spacing w:val="-8"/>
                <w:kern w:val="24"/>
              </w:rPr>
            </w:pPr>
            <w:r>
              <w:rPr>
                <w:spacing w:val="-8"/>
                <w:kern w:val="24"/>
              </w:rPr>
              <w:t>A</w:t>
            </w:r>
            <w:r>
              <w:rPr>
                <w:rFonts w:hint="eastAsia"/>
                <w:spacing w:val="-8"/>
                <w:kern w:val="24"/>
                <w:vertAlign w:val="subscript"/>
              </w:rPr>
              <w:t>gr</w:t>
            </w:r>
            <w:r>
              <w:rPr>
                <w:spacing w:val="-8"/>
                <w:kern w:val="24"/>
              </w:rPr>
              <w:t xml:space="preserve"> ——</w:t>
            </w:r>
            <w:r>
              <w:rPr>
                <w:rFonts w:hint="eastAsia"/>
                <w:spacing w:val="-8"/>
                <w:kern w:val="24"/>
              </w:rPr>
              <w:t>地面效应引起</w:t>
            </w:r>
            <w:r>
              <w:rPr>
                <w:rFonts w:hAnsi="宋体"/>
                <w:spacing w:val="-8"/>
                <w:kern w:val="24"/>
              </w:rPr>
              <w:t>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1120" w:firstLineChars="500"/>
              <w:rPr>
                <w:spacing w:val="-8"/>
                <w:kern w:val="24"/>
              </w:rPr>
            </w:pPr>
            <w:r>
              <w:rPr>
                <w:spacing w:val="-8"/>
                <w:kern w:val="24"/>
              </w:rPr>
              <w:t>A</w:t>
            </w:r>
            <w:r>
              <w:rPr>
                <w:spacing w:val="-8"/>
                <w:kern w:val="24"/>
                <w:vertAlign w:val="subscript"/>
              </w:rPr>
              <w:t>bar</w:t>
            </w:r>
            <w:r>
              <w:rPr>
                <w:spacing w:val="-8"/>
                <w:kern w:val="24"/>
              </w:rPr>
              <w:t>——</w:t>
            </w:r>
            <w:r>
              <w:rPr>
                <w:rFonts w:hint="eastAsia"/>
                <w:spacing w:val="-8"/>
                <w:kern w:val="24"/>
              </w:rPr>
              <w:t>声屏障</w:t>
            </w:r>
            <w:r>
              <w:rPr>
                <w:rFonts w:hAnsi="宋体"/>
                <w:spacing w:val="-8"/>
                <w:kern w:val="24"/>
              </w:rPr>
              <w:t>引起的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1120" w:firstLineChars="500"/>
              <w:rPr>
                <w:spacing w:val="-8"/>
                <w:kern w:val="24"/>
              </w:rPr>
            </w:pPr>
            <w:r>
              <w:rPr>
                <w:spacing w:val="-8"/>
                <w:kern w:val="24"/>
              </w:rPr>
              <w:t>A</w:t>
            </w:r>
            <w:r>
              <w:rPr>
                <w:rFonts w:hint="eastAsia"/>
                <w:spacing w:val="-8"/>
                <w:kern w:val="24"/>
                <w:vertAlign w:val="subscript"/>
              </w:rPr>
              <w:t>misc</w:t>
            </w:r>
            <w:r>
              <w:rPr>
                <w:spacing w:val="-8"/>
                <w:kern w:val="24"/>
              </w:rPr>
              <w:t>——</w:t>
            </w:r>
            <w:r>
              <w:rPr>
                <w:rFonts w:hint="eastAsia"/>
                <w:spacing w:val="-8"/>
                <w:kern w:val="24"/>
              </w:rPr>
              <w:t>其它多方面效应引起的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448" w:firstLineChars="200"/>
              <w:rPr>
                <w:rFonts w:hAnsi="宋体"/>
                <w:spacing w:val="-8"/>
                <w:kern w:val="24"/>
              </w:rPr>
            </w:pPr>
            <w:r>
              <w:rPr>
                <w:spacing w:val="-8"/>
                <w:kern w:val="24"/>
              </w:rPr>
              <w:t>L</w:t>
            </w:r>
            <w:r>
              <w:rPr>
                <w:spacing w:val="-8"/>
                <w:kern w:val="24"/>
                <w:vertAlign w:val="subscript"/>
              </w:rPr>
              <w:t>A</w:t>
            </w:r>
            <w:r>
              <w:rPr>
                <w:rFonts w:hAnsi="宋体"/>
                <w:spacing w:val="-8"/>
                <w:kern w:val="24"/>
              </w:rPr>
              <w:t>（</w:t>
            </w:r>
            <w:r>
              <w:rPr>
                <w:spacing w:val="-8"/>
                <w:kern w:val="24"/>
              </w:rPr>
              <w:t>r</w:t>
            </w:r>
            <w:r>
              <w:rPr>
                <w:spacing w:val="-8"/>
                <w:kern w:val="24"/>
                <w:vertAlign w:val="subscript"/>
              </w:rPr>
              <w:t>o</w:t>
            </w:r>
            <w:r>
              <w:rPr>
                <w:rFonts w:hAnsi="宋体"/>
                <w:spacing w:val="-8"/>
                <w:kern w:val="24"/>
              </w:rPr>
              <w:t>）</w:t>
            </w:r>
            <w:r>
              <w:rPr>
                <w:rFonts w:hint="eastAsia" w:hAnsi="宋体"/>
                <w:spacing w:val="-8"/>
                <w:kern w:val="24"/>
              </w:rPr>
              <w:t>取距声源1米处的</w:t>
            </w:r>
            <w:r>
              <w:rPr>
                <w:spacing w:val="-8"/>
                <w:kern w:val="24"/>
              </w:rPr>
              <w:t>A声级，</w:t>
            </w:r>
            <w:r>
              <w:rPr>
                <w:rFonts w:hint="eastAsia"/>
                <w:spacing w:val="-8"/>
                <w:kern w:val="24"/>
              </w:rPr>
              <w:t>由于预测距离仅在300米范围内，噪声预测进行简化，仅考虑</w:t>
            </w:r>
            <w:r>
              <w:rPr>
                <w:rFonts w:hAnsi="宋体"/>
                <w:spacing w:val="-8"/>
                <w:kern w:val="24"/>
              </w:rPr>
              <w:t>声波几何发散引起的</w:t>
            </w:r>
            <w:r>
              <w:rPr>
                <w:spacing w:val="-8"/>
                <w:kern w:val="24"/>
              </w:rPr>
              <w:t>A</w:t>
            </w:r>
            <w:r>
              <w:rPr>
                <w:rFonts w:hAnsi="宋体"/>
                <w:spacing w:val="-8"/>
                <w:kern w:val="24"/>
              </w:rPr>
              <w:t>声级衰减量</w:t>
            </w:r>
            <w:r>
              <w:rPr>
                <w:rFonts w:hint="eastAsia" w:hAnsi="宋体"/>
                <w:spacing w:val="-8"/>
                <w:kern w:val="24"/>
              </w:rPr>
              <w:t>，</w:t>
            </w:r>
            <w:r>
              <w:rPr>
                <w:rFonts w:hint="eastAsia"/>
                <w:spacing w:val="-8"/>
                <w:kern w:val="24"/>
              </w:rPr>
              <w:t>不考虑大</w:t>
            </w:r>
            <w:r>
              <w:rPr>
                <w:rFonts w:hAnsi="宋体"/>
                <w:spacing w:val="-8"/>
                <w:kern w:val="24"/>
              </w:rPr>
              <w:t>气吸收</w:t>
            </w:r>
            <w:r>
              <w:rPr>
                <w:rFonts w:hint="eastAsia" w:hAnsi="宋体"/>
                <w:spacing w:val="-8"/>
                <w:kern w:val="24"/>
              </w:rPr>
              <w:t>、</w:t>
            </w:r>
            <w:r>
              <w:rPr>
                <w:rFonts w:hint="eastAsia"/>
                <w:spacing w:val="-8"/>
                <w:kern w:val="24"/>
              </w:rPr>
              <w:t>地面效应、</w:t>
            </w:r>
            <w:r>
              <w:rPr>
                <w:spacing w:val="-8"/>
                <w:kern w:val="24"/>
              </w:rPr>
              <w:t>声屏障及</w:t>
            </w:r>
            <w:r>
              <w:rPr>
                <w:rFonts w:hAnsi="宋体"/>
                <w:spacing w:val="-8"/>
                <w:kern w:val="24"/>
              </w:rPr>
              <w:t>由</w:t>
            </w:r>
            <w:r>
              <w:rPr>
                <w:spacing w:val="-8"/>
                <w:kern w:val="24"/>
              </w:rPr>
              <w:t>其它多方面效应（通过房屋群）引起的A声级衰减量，即A</w:t>
            </w:r>
            <w:r>
              <w:rPr>
                <w:spacing w:val="-8"/>
                <w:kern w:val="24"/>
                <w:vertAlign w:val="subscript"/>
              </w:rPr>
              <w:t>atm、</w:t>
            </w:r>
            <w:r>
              <w:rPr>
                <w:spacing w:val="-8"/>
                <w:kern w:val="24"/>
              </w:rPr>
              <w:t>A</w:t>
            </w:r>
            <w:r>
              <w:rPr>
                <w:spacing w:val="-8"/>
                <w:kern w:val="24"/>
                <w:vertAlign w:val="subscript"/>
              </w:rPr>
              <w:t>gr、</w:t>
            </w:r>
            <w:r>
              <w:rPr>
                <w:spacing w:val="-8"/>
                <w:kern w:val="24"/>
              </w:rPr>
              <w:t>A</w:t>
            </w:r>
            <w:r>
              <w:rPr>
                <w:spacing w:val="-8"/>
                <w:kern w:val="24"/>
                <w:vertAlign w:val="subscript"/>
              </w:rPr>
              <w:t>bar、</w:t>
            </w:r>
            <w:r>
              <w:rPr>
                <w:spacing w:val="-8"/>
                <w:kern w:val="24"/>
              </w:rPr>
              <w:t>A</w:t>
            </w:r>
            <w:r>
              <w:rPr>
                <w:spacing w:val="-8"/>
                <w:kern w:val="24"/>
                <w:vertAlign w:val="subscript"/>
              </w:rPr>
              <w:t>misc</w:t>
            </w:r>
            <w:r>
              <w:rPr>
                <w:spacing w:val="-8"/>
                <w:kern w:val="24"/>
              </w:rPr>
              <w:t>均为0，由</w:t>
            </w:r>
            <w:r>
              <w:rPr>
                <w:rFonts w:hAnsi="宋体"/>
                <w:spacing w:val="-8"/>
                <w:kern w:val="24"/>
              </w:rPr>
              <w:t>噪声预测值计算模式计算出施工场地噪声预测结果见表</w:t>
            </w:r>
            <w:r>
              <w:rPr>
                <w:rFonts w:hint="eastAsia" w:hAnsi="宋体"/>
                <w:spacing w:val="-8"/>
                <w:kern w:val="24"/>
              </w:rPr>
              <w:t>7</w:t>
            </w:r>
            <w:r>
              <w:rPr>
                <w:spacing w:val="-8"/>
                <w:kern w:val="24"/>
              </w:rPr>
              <w:t>-</w:t>
            </w:r>
            <w:r>
              <w:rPr>
                <w:rFonts w:hint="eastAsia"/>
                <w:spacing w:val="-8"/>
                <w:kern w:val="24"/>
              </w:rPr>
              <w:t>1</w:t>
            </w:r>
            <w:r>
              <w:rPr>
                <w:rFonts w:hAnsi="宋体"/>
                <w:spacing w:val="-8"/>
                <w:kern w:val="24"/>
              </w:rPr>
              <w:t>。</w:t>
            </w:r>
          </w:p>
          <w:p>
            <w:pPr>
              <w:spacing w:line="360" w:lineRule="auto"/>
              <w:jc w:val="center"/>
              <w:rPr>
                <w:b/>
                <w:bCs/>
                <w:sz w:val="21"/>
                <w:szCs w:val="16"/>
              </w:rPr>
            </w:pPr>
            <w:r>
              <w:rPr>
                <w:rFonts w:hint="eastAsia"/>
                <w:b/>
                <w:bCs/>
                <w:sz w:val="21"/>
                <w:szCs w:val="16"/>
              </w:rPr>
              <w:t>表7-1  施工噪声影响范围预测 单位：dB（A）</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009"/>
              <w:gridCol w:w="873"/>
              <w:gridCol w:w="805"/>
              <w:gridCol w:w="859"/>
              <w:gridCol w:w="736"/>
              <w:gridCol w:w="914"/>
              <w:gridCol w:w="791"/>
              <w:gridCol w:w="831"/>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vAlign w:val="center"/>
                </w:tcPr>
                <w:p>
                  <w:pPr>
                    <w:jc w:val="center"/>
                    <w:rPr>
                      <w:b/>
                      <w:bCs/>
                      <w:sz w:val="21"/>
                      <w:szCs w:val="21"/>
                    </w:rPr>
                  </w:pPr>
                  <w:r>
                    <w:rPr>
                      <w:rFonts w:hint="eastAsia"/>
                      <w:b/>
                      <w:bCs/>
                      <w:sz w:val="21"/>
                      <w:szCs w:val="21"/>
                    </w:rPr>
                    <w:t>噪声分类</w:t>
                  </w:r>
                </w:p>
              </w:tc>
              <w:tc>
                <w:tcPr>
                  <w:tcW w:w="1009" w:type="dxa"/>
                  <w:vMerge w:val="restart"/>
                  <w:vAlign w:val="center"/>
                </w:tcPr>
                <w:p>
                  <w:pPr>
                    <w:jc w:val="center"/>
                    <w:rPr>
                      <w:b/>
                      <w:bCs/>
                      <w:sz w:val="21"/>
                      <w:szCs w:val="21"/>
                    </w:rPr>
                  </w:pPr>
                  <w:r>
                    <w:rPr>
                      <w:rFonts w:hint="eastAsia"/>
                      <w:b/>
                      <w:bCs/>
                      <w:sz w:val="21"/>
                      <w:szCs w:val="21"/>
                    </w:rPr>
                    <w:t>噪声峰值</w:t>
                  </w:r>
                  <w:r>
                    <w:rPr>
                      <w:b/>
                      <w:bCs/>
                      <w:sz w:val="21"/>
                      <w:szCs w:val="21"/>
                    </w:rPr>
                    <w:t>dB(A)</w:t>
                  </w:r>
                </w:p>
              </w:tc>
              <w:tc>
                <w:tcPr>
                  <w:tcW w:w="6573" w:type="dxa"/>
                  <w:gridSpan w:val="8"/>
                  <w:vAlign w:val="center"/>
                </w:tcPr>
                <w:p>
                  <w:pPr>
                    <w:jc w:val="center"/>
                    <w:rPr>
                      <w:b/>
                      <w:bCs/>
                      <w:sz w:val="21"/>
                      <w:szCs w:val="21"/>
                    </w:rPr>
                  </w:pPr>
                  <w:r>
                    <w:rPr>
                      <w:rFonts w:hint="eastAsia"/>
                      <w:b/>
                      <w:bCs/>
                      <w:sz w:val="21"/>
                      <w:szCs w:val="21"/>
                    </w:rPr>
                    <w:t>与声源的距离（m）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vMerge w:val="continue"/>
                  <w:vAlign w:val="center"/>
                </w:tcPr>
                <w:p>
                  <w:pPr>
                    <w:jc w:val="center"/>
                    <w:rPr>
                      <w:b/>
                      <w:bCs/>
                      <w:sz w:val="21"/>
                      <w:szCs w:val="21"/>
                    </w:rPr>
                  </w:pPr>
                </w:p>
              </w:tc>
              <w:tc>
                <w:tcPr>
                  <w:tcW w:w="1009" w:type="dxa"/>
                  <w:vMerge w:val="continue"/>
                  <w:vAlign w:val="center"/>
                </w:tcPr>
                <w:p>
                  <w:pPr>
                    <w:jc w:val="center"/>
                    <w:rPr>
                      <w:b/>
                      <w:bCs/>
                      <w:sz w:val="21"/>
                      <w:szCs w:val="21"/>
                    </w:rPr>
                  </w:pPr>
                </w:p>
              </w:tc>
              <w:tc>
                <w:tcPr>
                  <w:tcW w:w="873" w:type="dxa"/>
                  <w:vAlign w:val="center"/>
                </w:tcPr>
                <w:p>
                  <w:pPr>
                    <w:jc w:val="center"/>
                    <w:rPr>
                      <w:b/>
                      <w:bCs/>
                      <w:sz w:val="21"/>
                      <w:szCs w:val="21"/>
                    </w:rPr>
                  </w:pPr>
                  <w:r>
                    <w:rPr>
                      <w:rFonts w:hint="eastAsia"/>
                      <w:b/>
                      <w:bCs/>
                      <w:sz w:val="21"/>
                      <w:szCs w:val="21"/>
                    </w:rPr>
                    <w:t>30</w:t>
                  </w:r>
                </w:p>
              </w:tc>
              <w:tc>
                <w:tcPr>
                  <w:tcW w:w="805" w:type="dxa"/>
                  <w:vAlign w:val="center"/>
                </w:tcPr>
                <w:p>
                  <w:pPr>
                    <w:jc w:val="center"/>
                    <w:rPr>
                      <w:b/>
                      <w:bCs/>
                      <w:sz w:val="21"/>
                      <w:szCs w:val="21"/>
                    </w:rPr>
                  </w:pPr>
                  <w:r>
                    <w:rPr>
                      <w:rFonts w:hint="eastAsia"/>
                      <w:b/>
                      <w:bCs/>
                      <w:sz w:val="21"/>
                      <w:szCs w:val="21"/>
                    </w:rPr>
                    <w:t>50</w:t>
                  </w:r>
                </w:p>
              </w:tc>
              <w:tc>
                <w:tcPr>
                  <w:tcW w:w="859" w:type="dxa"/>
                  <w:vAlign w:val="center"/>
                </w:tcPr>
                <w:p>
                  <w:pPr>
                    <w:jc w:val="center"/>
                    <w:rPr>
                      <w:b/>
                      <w:bCs/>
                      <w:sz w:val="21"/>
                      <w:szCs w:val="21"/>
                    </w:rPr>
                  </w:pPr>
                  <w:r>
                    <w:rPr>
                      <w:rFonts w:hint="eastAsia"/>
                      <w:b/>
                      <w:bCs/>
                      <w:sz w:val="21"/>
                      <w:szCs w:val="21"/>
                    </w:rPr>
                    <w:t>100</w:t>
                  </w:r>
                </w:p>
              </w:tc>
              <w:tc>
                <w:tcPr>
                  <w:tcW w:w="736" w:type="dxa"/>
                  <w:vAlign w:val="center"/>
                </w:tcPr>
                <w:p>
                  <w:pPr>
                    <w:jc w:val="center"/>
                    <w:rPr>
                      <w:b/>
                      <w:bCs/>
                      <w:sz w:val="21"/>
                      <w:szCs w:val="21"/>
                    </w:rPr>
                  </w:pPr>
                  <w:r>
                    <w:rPr>
                      <w:rFonts w:hint="eastAsia"/>
                      <w:b/>
                      <w:bCs/>
                      <w:sz w:val="21"/>
                      <w:szCs w:val="21"/>
                    </w:rPr>
                    <w:t>150</w:t>
                  </w:r>
                </w:p>
              </w:tc>
              <w:tc>
                <w:tcPr>
                  <w:tcW w:w="914" w:type="dxa"/>
                  <w:vAlign w:val="center"/>
                </w:tcPr>
                <w:p>
                  <w:pPr>
                    <w:jc w:val="center"/>
                    <w:rPr>
                      <w:b/>
                      <w:bCs/>
                      <w:sz w:val="21"/>
                      <w:szCs w:val="21"/>
                    </w:rPr>
                  </w:pPr>
                  <w:r>
                    <w:rPr>
                      <w:rFonts w:hint="eastAsia"/>
                      <w:b/>
                      <w:bCs/>
                      <w:sz w:val="21"/>
                      <w:szCs w:val="21"/>
                    </w:rPr>
                    <w:t>200</w:t>
                  </w:r>
                </w:p>
              </w:tc>
              <w:tc>
                <w:tcPr>
                  <w:tcW w:w="791" w:type="dxa"/>
                  <w:vAlign w:val="center"/>
                </w:tcPr>
                <w:p>
                  <w:pPr>
                    <w:jc w:val="center"/>
                    <w:rPr>
                      <w:b/>
                      <w:bCs/>
                      <w:sz w:val="21"/>
                      <w:szCs w:val="21"/>
                    </w:rPr>
                  </w:pPr>
                  <w:r>
                    <w:rPr>
                      <w:rFonts w:hint="eastAsia"/>
                      <w:b/>
                      <w:bCs/>
                      <w:sz w:val="21"/>
                      <w:szCs w:val="21"/>
                    </w:rPr>
                    <w:t>300</w:t>
                  </w:r>
                </w:p>
              </w:tc>
              <w:tc>
                <w:tcPr>
                  <w:tcW w:w="831" w:type="dxa"/>
                  <w:vAlign w:val="center"/>
                </w:tcPr>
                <w:p>
                  <w:pPr>
                    <w:jc w:val="center"/>
                    <w:rPr>
                      <w:b/>
                      <w:bCs/>
                      <w:sz w:val="21"/>
                      <w:szCs w:val="21"/>
                    </w:rPr>
                  </w:pPr>
                  <w:r>
                    <w:rPr>
                      <w:rFonts w:hint="eastAsia"/>
                      <w:b/>
                      <w:bCs/>
                      <w:sz w:val="21"/>
                      <w:szCs w:val="21"/>
                    </w:rPr>
                    <w:t>500</w:t>
                  </w:r>
                </w:p>
              </w:tc>
              <w:tc>
                <w:tcPr>
                  <w:tcW w:w="764" w:type="dxa"/>
                  <w:vAlign w:val="center"/>
                </w:tcPr>
                <w:p>
                  <w:pPr>
                    <w:jc w:val="center"/>
                    <w:rPr>
                      <w:b/>
                      <w:bCs/>
                      <w:sz w:val="21"/>
                      <w:szCs w:val="21"/>
                    </w:rPr>
                  </w:pPr>
                  <w:r>
                    <w:rPr>
                      <w:rFonts w:hint="eastAsia"/>
                      <w:b/>
                      <w:bCs/>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jc w:val="center"/>
                    <w:rPr>
                      <w:sz w:val="21"/>
                      <w:szCs w:val="21"/>
                    </w:rPr>
                  </w:pPr>
                  <w:r>
                    <w:rPr>
                      <w:rFonts w:hint="eastAsia"/>
                      <w:sz w:val="21"/>
                      <w:szCs w:val="21"/>
                    </w:rPr>
                    <w:t>固定噪声</w:t>
                  </w:r>
                </w:p>
              </w:tc>
              <w:tc>
                <w:tcPr>
                  <w:tcW w:w="1009" w:type="dxa"/>
                  <w:vAlign w:val="center"/>
                </w:tcPr>
                <w:p>
                  <w:pPr>
                    <w:jc w:val="center"/>
                    <w:rPr>
                      <w:sz w:val="21"/>
                      <w:szCs w:val="21"/>
                    </w:rPr>
                  </w:pPr>
                  <w:r>
                    <w:rPr>
                      <w:rFonts w:hint="eastAsia"/>
                      <w:sz w:val="21"/>
                      <w:szCs w:val="21"/>
                    </w:rPr>
                    <w:t>98</w:t>
                  </w:r>
                </w:p>
              </w:tc>
              <w:tc>
                <w:tcPr>
                  <w:tcW w:w="873" w:type="dxa"/>
                  <w:vAlign w:val="center"/>
                </w:tcPr>
                <w:p>
                  <w:pPr>
                    <w:jc w:val="center"/>
                    <w:rPr>
                      <w:sz w:val="21"/>
                      <w:szCs w:val="21"/>
                    </w:rPr>
                  </w:pPr>
                  <w:r>
                    <w:rPr>
                      <w:rFonts w:hint="eastAsia"/>
                      <w:sz w:val="21"/>
                      <w:szCs w:val="21"/>
                    </w:rPr>
                    <w:t>68.46</w:t>
                  </w:r>
                </w:p>
              </w:tc>
              <w:tc>
                <w:tcPr>
                  <w:tcW w:w="805" w:type="dxa"/>
                  <w:vAlign w:val="center"/>
                </w:tcPr>
                <w:p>
                  <w:pPr>
                    <w:jc w:val="center"/>
                    <w:rPr>
                      <w:sz w:val="21"/>
                      <w:szCs w:val="21"/>
                    </w:rPr>
                  </w:pPr>
                  <w:r>
                    <w:rPr>
                      <w:sz w:val="21"/>
                      <w:szCs w:val="21"/>
                    </w:rPr>
                    <w:t>62</w:t>
                  </w:r>
                  <w:r>
                    <w:rPr>
                      <w:rFonts w:hint="eastAsia"/>
                      <w:sz w:val="21"/>
                      <w:szCs w:val="21"/>
                    </w:rPr>
                    <w:t>.35</w:t>
                  </w:r>
                </w:p>
              </w:tc>
              <w:tc>
                <w:tcPr>
                  <w:tcW w:w="859" w:type="dxa"/>
                  <w:vAlign w:val="center"/>
                </w:tcPr>
                <w:p>
                  <w:pPr>
                    <w:jc w:val="center"/>
                    <w:rPr>
                      <w:sz w:val="21"/>
                      <w:szCs w:val="21"/>
                    </w:rPr>
                  </w:pPr>
                  <w:r>
                    <w:rPr>
                      <w:sz w:val="21"/>
                      <w:szCs w:val="21"/>
                    </w:rPr>
                    <w:t>58</w:t>
                  </w:r>
                  <w:r>
                    <w:rPr>
                      <w:rFonts w:hint="eastAsia"/>
                      <w:sz w:val="21"/>
                      <w:szCs w:val="21"/>
                    </w:rPr>
                    <w:t>.76</w:t>
                  </w:r>
                </w:p>
              </w:tc>
              <w:tc>
                <w:tcPr>
                  <w:tcW w:w="736" w:type="dxa"/>
                  <w:vAlign w:val="center"/>
                </w:tcPr>
                <w:p>
                  <w:pPr>
                    <w:jc w:val="center"/>
                    <w:rPr>
                      <w:sz w:val="21"/>
                      <w:szCs w:val="21"/>
                    </w:rPr>
                  </w:pPr>
                  <w:r>
                    <w:rPr>
                      <w:sz w:val="21"/>
                      <w:szCs w:val="21"/>
                    </w:rPr>
                    <w:t>54</w:t>
                  </w:r>
                  <w:r>
                    <w:rPr>
                      <w:rFonts w:hint="eastAsia"/>
                      <w:sz w:val="21"/>
                      <w:szCs w:val="21"/>
                    </w:rPr>
                    <w:t>.21</w:t>
                  </w:r>
                </w:p>
              </w:tc>
              <w:tc>
                <w:tcPr>
                  <w:tcW w:w="914" w:type="dxa"/>
                  <w:vAlign w:val="center"/>
                </w:tcPr>
                <w:p>
                  <w:pPr>
                    <w:jc w:val="center"/>
                    <w:rPr>
                      <w:sz w:val="21"/>
                      <w:szCs w:val="21"/>
                    </w:rPr>
                  </w:pPr>
                  <w:r>
                    <w:rPr>
                      <w:sz w:val="21"/>
                      <w:szCs w:val="21"/>
                    </w:rPr>
                    <w:t>50</w:t>
                  </w:r>
                  <w:r>
                    <w:rPr>
                      <w:rFonts w:hint="eastAsia"/>
                      <w:sz w:val="21"/>
                      <w:szCs w:val="21"/>
                    </w:rPr>
                    <w:t>.54</w:t>
                  </w:r>
                </w:p>
              </w:tc>
              <w:tc>
                <w:tcPr>
                  <w:tcW w:w="791" w:type="dxa"/>
                  <w:vAlign w:val="center"/>
                </w:tcPr>
                <w:p>
                  <w:pPr>
                    <w:jc w:val="center"/>
                    <w:rPr>
                      <w:sz w:val="21"/>
                      <w:szCs w:val="21"/>
                    </w:rPr>
                  </w:pPr>
                  <w:r>
                    <w:rPr>
                      <w:sz w:val="21"/>
                      <w:szCs w:val="21"/>
                    </w:rPr>
                    <w:t>48</w:t>
                  </w:r>
                  <w:r>
                    <w:rPr>
                      <w:rFonts w:hint="eastAsia"/>
                      <w:sz w:val="21"/>
                      <w:szCs w:val="21"/>
                    </w:rPr>
                    <w:t>.39</w:t>
                  </w:r>
                </w:p>
              </w:tc>
              <w:tc>
                <w:tcPr>
                  <w:tcW w:w="831" w:type="dxa"/>
                  <w:vAlign w:val="center"/>
                </w:tcPr>
                <w:p>
                  <w:pPr>
                    <w:jc w:val="center"/>
                    <w:rPr>
                      <w:sz w:val="21"/>
                      <w:szCs w:val="21"/>
                    </w:rPr>
                  </w:pPr>
                  <w:r>
                    <w:rPr>
                      <w:sz w:val="21"/>
                      <w:szCs w:val="21"/>
                    </w:rPr>
                    <w:t>44</w:t>
                  </w:r>
                  <w:r>
                    <w:rPr>
                      <w:rFonts w:hint="eastAsia"/>
                      <w:sz w:val="21"/>
                      <w:szCs w:val="21"/>
                    </w:rPr>
                    <w:t>.78</w:t>
                  </w:r>
                </w:p>
              </w:tc>
              <w:tc>
                <w:tcPr>
                  <w:tcW w:w="764" w:type="dxa"/>
                  <w:vAlign w:val="center"/>
                </w:tcPr>
                <w:p>
                  <w:pPr>
                    <w:jc w:val="center"/>
                    <w:rPr>
                      <w:sz w:val="21"/>
                      <w:szCs w:val="21"/>
                    </w:rPr>
                  </w:pPr>
                  <w:r>
                    <w:rPr>
                      <w:sz w:val="21"/>
                      <w:szCs w:val="21"/>
                    </w:rPr>
                    <w:t>42</w:t>
                  </w:r>
                  <w:r>
                    <w:rPr>
                      <w:rFonts w:hint="eastAsia"/>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vAlign w:val="center"/>
                </w:tcPr>
                <w:p>
                  <w:pPr>
                    <w:jc w:val="center"/>
                    <w:rPr>
                      <w:sz w:val="21"/>
                      <w:szCs w:val="21"/>
                    </w:rPr>
                  </w:pPr>
                  <w:r>
                    <w:rPr>
                      <w:rFonts w:hint="eastAsia"/>
                      <w:sz w:val="21"/>
                      <w:szCs w:val="21"/>
                    </w:rPr>
                    <w:t>流动噪声</w:t>
                  </w:r>
                </w:p>
              </w:tc>
              <w:tc>
                <w:tcPr>
                  <w:tcW w:w="1009" w:type="dxa"/>
                  <w:vAlign w:val="center"/>
                </w:tcPr>
                <w:p>
                  <w:pPr>
                    <w:jc w:val="center"/>
                    <w:rPr>
                      <w:sz w:val="21"/>
                      <w:szCs w:val="21"/>
                    </w:rPr>
                  </w:pPr>
                  <w:r>
                    <w:rPr>
                      <w:rFonts w:hint="eastAsia"/>
                      <w:sz w:val="21"/>
                      <w:szCs w:val="21"/>
                    </w:rPr>
                    <w:t>96</w:t>
                  </w:r>
                </w:p>
              </w:tc>
              <w:tc>
                <w:tcPr>
                  <w:tcW w:w="873" w:type="dxa"/>
                  <w:vAlign w:val="center"/>
                </w:tcPr>
                <w:p>
                  <w:pPr>
                    <w:jc w:val="center"/>
                    <w:rPr>
                      <w:sz w:val="21"/>
                      <w:szCs w:val="21"/>
                    </w:rPr>
                  </w:pPr>
                  <w:r>
                    <w:rPr>
                      <w:rFonts w:hint="eastAsia"/>
                      <w:sz w:val="21"/>
                      <w:szCs w:val="21"/>
                    </w:rPr>
                    <w:t>66.43</w:t>
                  </w:r>
                </w:p>
              </w:tc>
              <w:tc>
                <w:tcPr>
                  <w:tcW w:w="805" w:type="dxa"/>
                  <w:vAlign w:val="center"/>
                </w:tcPr>
                <w:p>
                  <w:pPr>
                    <w:jc w:val="center"/>
                    <w:rPr>
                      <w:sz w:val="21"/>
                      <w:szCs w:val="21"/>
                    </w:rPr>
                  </w:pPr>
                  <w:r>
                    <w:rPr>
                      <w:sz w:val="21"/>
                      <w:szCs w:val="21"/>
                    </w:rPr>
                    <w:t>61</w:t>
                  </w:r>
                  <w:r>
                    <w:rPr>
                      <w:rFonts w:hint="eastAsia"/>
                      <w:sz w:val="21"/>
                      <w:szCs w:val="21"/>
                    </w:rPr>
                    <w:t>.98</w:t>
                  </w:r>
                </w:p>
              </w:tc>
              <w:tc>
                <w:tcPr>
                  <w:tcW w:w="859" w:type="dxa"/>
                  <w:vAlign w:val="center"/>
                </w:tcPr>
                <w:p>
                  <w:pPr>
                    <w:jc w:val="center"/>
                    <w:rPr>
                      <w:sz w:val="21"/>
                      <w:szCs w:val="21"/>
                    </w:rPr>
                  </w:pPr>
                  <w:r>
                    <w:rPr>
                      <w:sz w:val="21"/>
                      <w:szCs w:val="21"/>
                    </w:rPr>
                    <w:t>57</w:t>
                  </w:r>
                  <w:r>
                    <w:rPr>
                      <w:rFonts w:hint="eastAsia"/>
                      <w:sz w:val="21"/>
                      <w:szCs w:val="21"/>
                    </w:rPr>
                    <w:t>.36</w:t>
                  </w:r>
                </w:p>
              </w:tc>
              <w:tc>
                <w:tcPr>
                  <w:tcW w:w="736" w:type="dxa"/>
                  <w:vAlign w:val="center"/>
                </w:tcPr>
                <w:p>
                  <w:pPr>
                    <w:jc w:val="center"/>
                    <w:rPr>
                      <w:sz w:val="21"/>
                      <w:szCs w:val="21"/>
                    </w:rPr>
                  </w:pPr>
                  <w:r>
                    <w:rPr>
                      <w:sz w:val="21"/>
                      <w:szCs w:val="21"/>
                    </w:rPr>
                    <w:t>53</w:t>
                  </w:r>
                  <w:r>
                    <w:rPr>
                      <w:rFonts w:hint="eastAsia"/>
                      <w:sz w:val="21"/>
                      <w:szCs w:val="21"/>
                    </w:rPr>
                    <w:t>.48</w:t>
                  </w:r>
                </w:p>
              </w:tc>
              <w:tc>
                <w:tcPr>
                  <w:tcW w:w="914" w:type="dxa"/>
                  <w:vAlign w:val="center"/>
                </w:tcPr>
                <w:p>
                  <w:pPr>
                    <w:jc w:val="center"/>
                    <w:rPr>
                      <w:sz w:val="21"/>
                      <w:szCs w:val="21"/>
                    </w:rPr>
                  </w:pPr>
                  <w:r>
                    <w:rPr>
                      <w:sz w:val="21"/>
                      <w:szCs w:val="21"/>
                    </w:rPr>
                    <w:t>49</w:t>
                  </w:r>
                  <w:r>
                    <w:rPr>
                      <w:rFonts w:hint="eastAsia"/>
                      <w:sz w:val="21"/>
                      <w:szCs w:val="21"/>
                    </w:rPr>
                    <w:t>.75</w:t>
                  </w:r>
                </w:p>
              </w:tc>
              <w:tc>
                <w:tcPr>
                  <w:tcW w:w="791" w:type="dxa"/>
                  <w:vAlign w:val="center"/>
                </w:tcPr>
                <w:p>
                  <w:pPr>
                    <w:jc w:val="center"/>
                    <w:rPr>
                      <w:sz w:val="21"/>
                      <w:szCs w:val="21"/>
                    </w:rPr>
                  </w:pPr>
                  <w:r>
                    <w:rPr>
                      <w:sz w:val="21"/>
                      <w:szCs w:val="21"/>
                    </w:rPr>
                    <w:t>47</w:t>
                  </w:r>
                  <w:r>
                    <w:rPr>
                      <w:rFonts w:hint="eastAsia"/>
                      <w:sz w:val="21"/>
                      <w:szCs w:val="21"/>
                    </w:rPr>
                    <w:t>.35</w:t>
                  </w:r>
                </w:p>
              </w:tc>
              <w:tc>
                <w:tcPr>
                  <w:tcW w:w="831" w:type="dxa"/>
                  <w:vAlign w:val="center"/>
                </w:tcPr>
                <w:p>
                  <w:pPr>
                    <w:jc w:val="center"/>
                    <w:rPr>
                      <w:sz w:val="21"/>
                      <w:szCs w:val="21"/>
                    </w:rPr>
                  </w:pPr>
                  <w:r>
                    <w:rPr>
                      <w:sz w:val="21"/>
                      <w:szCs w:val="21"/>
                    </w:rPr>
                    <w:t>43</w:t>
                  </w:r>
                  <w:r>
                    <w:rPr>
                      <w:rFonts w:hint="eastAsia"/>
                      <w:sz w:val="21"/>
                      <w:szCs w:val="21"/>
                    </w:rPr>
                    <w:t>.49</w:t>
                  </w:r>
                </w:p>
              </w:tc>
              <w:tc>
                <w:tcPr>
                  <w:tcW w:w="764" w:type="dxa"/>
                  <w:vAlign w:val="center"/>
                </w:tcPr>
                <w:p>
                  <w:pPr>
                    <w:jc w:val="center"/>
                    <w:rPr>
                      <w:sz w:val="21"/>
                      <w:szCs w:val="21"/>
                    </w:rPr>
                  </w:pPr>
                  <w:r>
                    <w:rPr>
                      <w:sz w:val="21"/>
                      <w:szCs w:val="21"/>
                    </w:rPr>
                    <w:t>41</w:t>
                  </w:r>
                  <w:r>
                    <w:rPr>
                      <w:rFonts w:hint="eastAsia"/>
                      <w:sz w:val="21"/>
                      <w:szCs w:val="21"/>
                    </w:rPr>
                    <w:t>.31</w:t>
                  </w:r>
                </w:p>
              </w:tc>
            </w:tr>
          </w:tbl>
          <w:p>
            <w:pPr>
              <w:spacing w:line="360" w:lineRule="auto"/>
              <w:ind w:firstLine="480"/>
            </w:pPr>
            <w:r>
              <w:rPr>
                <w:rFonts w:hint="eastAsia"/>
              </w:rPr>
              <w:t>通过上表可看出，施工噪声因不同的施工机械影响的范围相差很大，夜间施工噪声的影响范围要比昼间大得多。在实际施工过程中可能出现多台机械同时在一处作业，则此时施工噪声影响的范围比预测值还要大</w:t>
            </w:r>
            <w:r>
              <w:t>（根据类比调查，叠加后的噪声增值约为3-8dB</w:t>
            </w:r>
            <w:r>
              <w:rPr>
                <w:rFonts w:hAnsi="宋体"/>
                <w:spacing w:val="-8"/>
                <w:kern w:val="24"/>
              </w:rPr>
              <w:t>（</w:t>
            </w:r>
            <w:r>
              <w:rPr>
                <w:spacing w:val="-8"/>
                <w:kern w:val="24"/>
              </w:rPr>
              <w:t>A</w:t>
            </w:r>
            <w:r>
              <w:rPr>
                <w:rFonts w:hAnsi="宋体"/>
                <w:spacing w:val="-8"/>
                <w:kern w:val="24"/>
              </w:rPr>
              <w:t>）</w:t>
            </w:r>
            <w:r>
              <w:t>）</w:t>
            </w:r>
            <w:r>
              <w:rPr>
                <w:rFonts w:hint="eastAsia"/>
              </w:rPr>
              <w:t>，鉴于实际情况较为复杂，很难一一用声级叠加公式进行计算。</w:t>
            </w:r>
          </w:p>
          <w:p>
            <w:pPr>
              <w:spacing w:line="360" w:lineRule="auto"/>
              <w:ind w:firstLine="482"/>
            </w:pPr>
            <w:r>
              <w:rPr>
                <w:rFonts w:hint="eastAsia"/>
              </w:rPr>
              <w:t>根据预测结果，在不考虑噪声叠加影响的情况下，昼间在距施工场地20米以外的区域可达到</w:t>
            </w:r>
            <w:r>
              <w:rPr>
                <w:rFonts w:hAnsi="宋体"/>
              </w:rPr>
              <w:t>《建筑施工场界</w:t>
            </w:r>
            <w:r>
              <w:rPr>
                <w:rFonts w:hint="eastAsia" w:hAnsi="宋体"/>
              </w:rPr>
              <w:t>环境</w:t>
            </w:r>
            <w:r>
              <w:rPr>
                <w:rFonts w:hAnsi="宋体"/>
              </w:rPr>
              <w:t>噪声</w:t>
            </w:r>
            <w:r>
              <w:rPr>
                <w:rFonts w:hint="eastAsia" w:hAnsi="宋体"/>
              </w:rPr>
              <w:t>排放标准</w:t>
            </w:r>
            <w:r>
              <w:rPr>
                <w:rFonts w:hAnsi="宋体"/>
              </w:rPr>
              <w:t>》</w:t>
            </w:r>
            <w:r>
              <w:rPr>
                <w:rFonts w:hint="eastAsia" w:hAnsi="宋体"/>
              </w:rPr>
              <w:t>（</w:t>
            </w:r>
            <w:r>
              <w:t>GB12523</w:t>
            </w:r>
            <w:r>
              <w:rPr>
                <w:rFonts w:hAnsi="宋体"/>
              </w:rPr>
              <w:t>－</w:t>
            </w:r>
            <w:r>
              <w:rPr>
                <w:rFonts w:hint="eastAsia" w:hAnsi="宋体"/>
              </w:rPr>
              <w:t>2011）</w:t>
            </w:r>
            <w:r>
              <w:rPr>
                <w:rFonts w:hint="eastAsia"/>
              </w:rPr>
              <w:t>的昼间值70dB（A）的要求，夜间在距施工场地120米以外的区域才可达到</w:t>
            </w:r>
            <w:r>
              <w:rPr>
                <w:rFonts w:hAnsi="宋体"/>
              </w:rPr>
              <w:t>《建筑施工场界</w:t>
            </w:r>
            <w:r>
              <w:rPr>
                <w:rFonts w:hint="eastAsia" w:hAnsi="宋体"/>
              </w:rPr>
              <w:t>环境</w:t>
            </w:r>
            <w:r>
              <w:rPr>
                <w:rFonts w:hAnsi="宋体"/>
              </w:rPr>
              <w:t>噪声</w:t>
            </w:r>
            <w:r>
              <w:rPr>
                <w:rFonts w:hint="eastAsia" w:hAnsi="宋体"/>
              </w:rPr>
              <w:t>排放标准</w:t>
            </w:r>
            <w:r>
              <w:rPr>
                <w:rFonts w:hAnsi="宋体"/>
              </w:rPr>
              <w:t>》</w:t>
            </w:r>
            <w:r>
              <w:rPr>
                <w:rFonts w:hint="eastAsia" w:hAnsi="宋体"/>
              </w:rPr>
              <w:t>（</w:t>
            </w:r>
            <w:r>
              <w:t>GB12523</w:t>
            </w:r>
            <w:r>
              <w:rPr>
                <w:rFonts w:hAnsi="宋体"/>
              </w:rPr>
              <w:t>－</w:t>
            </w:r>
            <w:r>
              <w:rPr>
                <w:rFonts w:hint="eastAsia" w:hAnsi="宋体"/>
              </w:rPr>
              <w:t>2011）</w:t>
            </w:r>
            <w:r>
              <w:rPr>
                <w:rFonts w:hint="eastAsia"/>
              </w:rPr>
              <w:t>的夜间限值55dB（A）要求。</w:t>
            </w:r>
          </w:p>
          <w:p>
            <w:pPr>
              <w:pStyle w:val="83"/>
              <w:ind w:firstLine="448"/>
              <w:rPr>
                <w:rFonts w:ascii="Times New Roman" w:hAnsi="Times New Roman"/>
                <w:b w:val="0"/>
                <w:bCs/>
              </w:rPr>
            </w:pPr>
            <w:r>
              <w:rPr>
                <w:rFonts w:ascii="Times New Roman" w:hAnsi="Times New Roman"/>
                <w:b w:val="0"/>
                <w:bCs/>
              </w:rPr>
              <w:t>项目所有施工区均位于农村，施工影响对象主要为施工区附近的村民，根据现场踏勘调查，项目</w:t>
            </w:r>
            <w:r>
              <w:rPr>
                <w:rFonts w:hint="eastAsia" w:ascii="Times New Roman" w:hAnsi="Times New Roman"/>
                <w:b w:val="0"/>
                <w:bCs/>
              </w:rPr>
              <w:t>管线</w:t>
            </w:r>
            <w:r>
              <w:rPr>
                <w:rFonts w:ascii="Times New Roman" w:hAnsi="Times New Roman"/>
                <w:b w:val="0"/>
                <w:bCs/>
              </w:rPr>
              <w:t>距离最近的村民仅约20m左右，由预测结果可知，项目在昼间施工噪声基本能够满足《建筑施工场界环境噪声排放标准》（GB12523－2011）的昼间值70dB（A）的要求，但如果在夜间施工，则需120m距离才达到建筑施工场界噪声限值，因此，应按相关规定禁止夜间（22：00-次日6：00）施工。</w:t>
            </w:r>
          </w:p>
          <w:p>
            <w:pPr>
              <w:spacing w:line="360" w:lineRule="auto"/>
              <w:ind w:firstLine="480" w:firstLineChars="200"/>
              <w:rPr>
                <w:kern w:val="0"/>
              </w:rPr>
            </w:pPr>
            <w:r>
              <w:rPr>
                <w:rFonts w:hint="eastAsia" w:hAnsi="宋体"/>
                <w:kern w:val="0"/>
              </w:rPr>
              <w:t>同时</w:t>
            </w:r>
            <w:r>
              <w:rPr>
                <w:rFonts w:hAnsi="宋体"/>
                <w:kern w:val="0"/>
              </w:rPr>
              <w:t>，在施工过程中应注意降低人为噪声，采取适当隔声措施及增设施工围档，并合理安排高噪声设备的使用时间</w:t>
            </w:r>
            <w:r>
              <w:rPr>
                <w:rFonts w:hint="eastAsia" w:hAnsi="宋体"/>
                <w:kern w:val="0"/>
              </w:rPr>
              <w:t>，</w:t>
            </w:r>
            <w:r>
              <w:rPr>
                <w:rFonts w:hAnsi="宋体"/>
                <w:kern w:val="0"/>
              </w:rPr>
              <w:t>在敏感点分布较多的地段</w:t>
            </w:r>
            <w:r>
              <w:rPr>
                <w:rFonts w:hint="eastAsia" w:hAnsi="宋体"/>
                <w:kern w:val="0"/>
              </w:rPr>
              <w:t>建议</w:t>
            </w:r>
            <w:r>
              <w:rPr>
                <w:rFonts w:hAnsi="宋体"/>
                <w:kern w:val="0"/>
              </w:rPr>
              <w:t>采用人工挖掘方法以减轻影响。</w:t>
            </w:r>
          </w:p>
          <w:p>
            <w:pPr>
              <w:widowControl/>
              <w:spacing w:line="360" w:lineRule="auto"/>
              <w:ind w:firstLine="480" w:firstLineChars="200"/>
              <w:jc w:val="left"/>
            </w:pPr>
            <w:r>
              <w:t>项目在采取了一定措施后，施工期噪声</w:t>
            </w:r>
            <w:r>
              <w:rPr>
                <w:rFonts w:hint="eastAsia"/>
              </w:rPr>
              <w:t>仍</w:t>
            </w:r>
            <w:r>
              <w:t>会对</w:t>
            </w:r>
            <w:r>
              <w:rPr>
                <w:rFonts w:hint="eastAsia"/>
              </w:rPr>
              <w:t>周围居民点</w:t>
            </w:r>
            <w:r>
              <w:t>产生一定影响，但只要加强管理，合理施工，认真落实各项防治措施，同时与周围居民协调好关系，并注意听取居民的合理意见，就能避免扰民事件的发生。施工期结束后，相应的噪声</w:t>
            </w:r>
            <w:r>
              <w:rPr>
                <w:rFonts w:hint="eastAsia"/>
              </w:rPr>
              <w:t>影响</w:t>
            </w:r>
            <w:r>
              <w:t>随之消</w:t>
            </w:r>
            <w:r>
              <w:rPr>
                <w:rFonts w:hint="eastAsia"/>
              </w:rPr>
              <w:t>除</w:t>
            </w:r>
            <w:r>
              <w:t>，对周围环境产生</w:t>
            </w:r>
            <w:r>
              <w:rPr>
                <w:rFonts w:hint="eastAsia"/>
              </w:rPr>
              <w:t>的</w:t>
            </w:r>
            <w:r>
              <w:t>影响</w:t>
            </w:r>
            <w:r>
              <w:rPr>
                <w:rFonts w:hint="eastAsia"/>
              </w:rPr>
              <w:t>也随之消除</w:t>
            </w:r>
            <w:r>
              <w:t>。</w:t>
            </w:r>
          </w:p>
          <w:p>
            <w:pPr>
              <w:spacing w:line="360" w:lineRule="auto"/>
              <w:ind w:firstLine="354" w:firstLineChars="147"/>
              <w:rPr>
                <w:b/>
              </w:rPr>
            </w:pPr>
            <w:r>
              <w:rPr>
                <w:rFonts w:hint="eastAsia" w:hAnsi="宋体"/>
                <w:b/>
              </w:rPr>
              <w:t>4）</w:t>
            </w:r>
            <w:r>
              <w:rPr>
                <w:rFonts w:hAnsi="宋体"/>
                <w:b/>
              </w:rPr>
              <w:t>固废环境影响分析</w:t>
            </w:r>
          </w:p>
          <w:p>
            <w:pPr>
              <w:spacing w:line="360" w:lineRule="auto"/>
              <w:ind w:firstLine="482"/>
            </w:pPr>
            <w:r>
              <w:rPr>
                <w:rFonts w:hint="eastAsia"/>
                <w:szCs w:val="24"/>
              </w:rPr>
              <w:t>施工期固体废弃物主要包括建筑垃圾、管沟开挖带来的废土石、管道清淤产生的污泥及施工人员的生活垃圾等</w:t>
            </w:r>
            <w:r>
              <w:rPr>
                <w:rFonts w:hint="eastAsia"/>
              </w:rPr>
              <w:t>。</w:t>
            </w:r>
          </w:p>
          <w:p>
            <w:pPr>
              <w:adjustRightInd w:val="0"/>
              <w:snapToGrid w:val="0"/>
              <w:spacing w:line="360" w:lineRule="auto"/>
              <w:ind w:firstLine="482" w:firstLineChars="200"/>
              <w:rPr>
                <w:b/>
                <w:bCs/>
                <w:szCs w:val="24"/>
              </w:rPr>
            </w:pPr>
            <w:r>
              <w:rPr>
                <w:rFonts w:hint="eastAsia"/>
                <w:b/>
                <w:bCs/>
                <w:szCs w:val="24"/>
              </w:rPr>
              <w:t>（1）土石方</w:t>
            </w:r>
          </w:p>
          <w:p>
            <w:pPr>
              <w:adjustRightInd w:val="0"/>
              <w:snapToGrid w:val="0"/>
              <w:spacing w:line="360" w:lineRule="auto"/>
              <w:ind w:firstLine="480" w:firstLineChars="200"/>
              <w:rPr>
                <w:szCs w:val="24"/>
              </w:rPr>
            </w:pPr>
            <w:r>
              <w:rPr>
                <w:rFonts w:hint="eastAsia"/>
                <w:szCs w:val="24"/>
              </w:rPr>
              <w:t>根据工程分析，本项目在管沟、检查井等开挖过程中会产生大量的土石方，产生土石方量约为96000m</w:t>
            </w:r>
            <w:r>
              <w:rPr>
                <w:rFonts w:hint="eastAsia"/>
                <w:szCs w:val="24"/>
                <w:vertAlign w:val="superscript"/>
              </w:rPr>
              <w:t>3</w:t>
            </w:r>
            <w:r>
              <w:rPr>
                <w:rFonts w:hint="eastAsia"/>
                <w:szCs w:val="24"/>
              </w:rPr>
              <w:t xml:space="preserve"> （其中：路面开凿产生建筑垃圾6400m</w:t>
            </w:r>
            <w:r>
              <w:rPr>
                <w:rFonts w:hint="eastAsia"/>
                <w:szCs w:val="24"/>
                <w:vertAlign w:val="superscript"/>
              </w:rPr>
              <w:t>3</w:t>
            </w:r>
            <w:r>
              <w:rPr>
                <w:rFonts w:hint="eastAsia"/>
                <w:szCs w:val="24"/>
              </w:rPr>
              <w:t>）。由于污水管网区主要沿乡镇道路布设，由于道路多水泥无表土可收集，且管道地埋后需回填开挖料至原地面高程并恢复路面，污水管网区开挖土石方进行管顶回填利，本区开挖产生的建筑垃圾方运至建设管理部门指定的合法弃渣场。</w:t>
            </w:r>
          </w:p>
          <w:p>
            <w:pPr>
              <w:tabs>
                <w:tab w:val="left" w:pos="3100"/>
              </w:tabs>
              <w:adjustRightInd w:val="0"/>
              <w:snapToGrid w:val="0"/>
              <w:spacing w:line="360" w:lineRule="auto"/>
              <w:ind w:firstLine="482" w:firstLineChars="200"/>
              <w:rPr>
                <w:b/>
                <w:bCs/>
                <w:szCs w:val="24"/>
              </w:rPr>
            </w:pPr>
            <w:r>
              <w:rPr>
                <w:rFonts w:hint="eastAsia"/>
                <w:b/>
                <w:bCs/>
              </w:rPr>
              <w:t>（2）</w:t>
            </w:r>
            <w:r>
              <w:rPr>
                <w:rFonts w:hint="eastAsia"/>
                <w:b/>
                <w:bCs/>
                <w:szCs w:val="24"/>
              </w:rPr>
              <w:t> 污泥</w:t>
            </w:r>
          </w:p>
          <w:p>
            <w:pPr>
              <w:tabs>
                <w:tab w:val="left" w:pos="3100"/>
              </w:tabs>
              <w:adjustRightInd w:val="0"/>
              <w:snapToGrid w:val="0"/>
              <w:spacing w:line="360" w:lineRule="auto"/>
              <w:ind w:firstLine="480" w:firstLineChars="200"/>
              <w:rPr>
                <w:bCs/>
                <w:szCs w:val="24"/>
              </w:rPr>
            </w:pPr>
            <w:r>
              <w:rPr>
                <w:rFonts w:hint="eastAsia"/>
                <w:bCs/>
                <w:szCs w:val="24"/>
              </w:rPr>
              <w:t>本项目在管道清淤过程中会产生一定量的污泥。项目涉及清淤管道148km，根据工程分析，项目采用</w:t>
            </w:r>
            <w:r>
              <w:rPr>
                <w:rFonts w:hint="eastAsia" w:ascii="宋体" w:hAnsi="宋体" w:cs="宋体"/>
              </w:rPr>
              <w:t>高压水射流清淤法进行施工。</w:t>
            </w:r>
            <w:r>
              <w:rPr>
                <w:rFonts w:hint="eastAsia"/>
                <w:bCs/>
                <w:szCs w:val="24"/>
              </w:rPr>
              <w:t>高压水射流清洗使用一台高压射水车，装备有大型水罐、机动卷管器、高压水泵、射水喷头等，清淤时产生的污泥随着水流冲到下游的检查井，最终由吸泥车直接将污泥等吸走后，清运至附近的集镇污水处理厂，委托其一并处置，不会对周围环境产生影响。</w:t>
            </w:r>
          </w:p>
          <w:p>
            <w:pPr>
              <w:adjustRightInd w:val="0"/>
              <w:snapToGrid w:val="0"/>
              <w:spacing w:line="360" w:lineRule="auto"/>
              <w:ind w:firstLine="482"/>
              <w:rPr>
                <w:b/>
                <w:bCs/>
              </w:rPr>
            </w:pPr>
            <w:r>
              <w:rPr>
                <w:rFonts w:hint="eastAsia"/>
                <w:b/>
                <w:bCs/>
              </w:rPr>
              <w:t>（3）施工生活垃圾</w:t>
            </w:r>
          </w:p>
          <w:p>
            <w:pPr>
              <w:adjustRightInd w:val="0"/>
              <w:snapToGrid w:val="0"/>
              <w:spacing w:line="360" w:lineRule="auto"/>
              <w:ind w:firstLine="482"/>
            </w:pPr>
            <w:r>
              <w:rPr>
                <w:rFonts w:hint="eastAsia"/>
              </w:rPr>
              <w:t>根据工程分析核算，项目施工期共产生生活垃圾总产生量1.8t，通过设置临时垃圾收集桶统一收集后，自行清运至环卫部门指定的地点。</w:t>
            </w:r>
          </w:p>
          <w:p>
            <w:pPr>
              <w:adjustRightInd w:val="0"/>
              <w:snapToGrid w:val="0"/>
              <w:spacing w:line="360" w:lineRule="auto"/>
              <w:ind w:firstLine="482" w:firstLineChars="200"/>
              <w:rPr>
                <w:b/>
                <w:bCs/>
              </w:rPr>
            </w:pPr>
            <w:r>
              <w:rPr>
                <w:rFonts w:hint="eastAsia"/>
                <w:b/>
                <w:bCs/>
              </w:rPr>
              <w:t>（4）施工垃圾</w:t>
            </w:r>
          </w:p>
          <w:p>
            <w:pPr>
              <w:adjustRightInd w:val="0"/>
              <w:snapToGrid w:val="0"/>
              <w:spacing w:line="360" w:lineRule="auto"/>
              <w:ind w:firstLine="482"/>
            </w:pPr>
            <w:r>
              <w:rPr>
                <w:rFonts w:hint="eastAsia"/>
              </w:rPr>
              <w:t>施工</w:t>
            </w:r>
            <w:r>
              <w:t>建筑垃圾主要成份以废混凝土、废砖瓦、废木料、废钢材等惰性材料为主。</w:t>
            </w:r>
            <w:r>
              <w:rPr>
                <w:rFonts w:hint="eastAsia"/>
              </w:rPr>
              <w:t>建筑垃圾分类处理，分捡出具有回收价值的废钢筋、废木材、废塑料、废包装材料等，可送废品收购站回收利用，余下无回收价值的，</w:t>
            </w:r>
            <w:r>
              <w:t>须严格按照</w:t>
            </w:r>
            <w:r>
              <w:rPr>
                <w:rFonts w:hint="eastAsia"/>
              </w:rPr>
              <w:t>相关</w:t>
            </w:r>
            <w:r>
              <w:rPr>
                <w:shd w:val="clear" w:color="auto" w:fill="FFFFFF"/>
              </w:rPr>
              <w:t>要求进行处置</w:t>
            </w:r>
            <w:r>
              <w:t>。</w:t>
            </w:r>
          </w:p>
          <w:p>
            <w:pPr>
              <w:adjustRightInd w:val="0"/>
              <w:snapToGrid w:val="0"/>
              <w:spacing w:line="360" w:lineRule="auto"/>
              <w:ind w:firstLine="482"/>
            </w:pPr>
            <w:r>
              <w:rPr>
                <w:rFonts w:hint="eastAsia"/>
              </w:rPr>
              <w:t>通过采取环评提出的固废处置措施，施工期所产生的固体废弃物基本不会对当地环境产生不良影响。</w:t>
            </w:r>
          </w:p>
          <w:p>
            <w:pPr>
              <w:tabs>
                <w:tab w:val="left" w:pos="3100"/>
              </w:tabs>
              <w:adjustRightInd w:val="0"/>
              <w:snapToGrid w:val="0"/>
              <w:spacing w:line="360" w:lineRule="auto"/>
              <w:ind w:firstLine="482" w:firstLineChars="200"/>
              <w:rPr>
                <w:szCs w:val="24"/>
              </w:rPr>
            </w:pPr>
            <w:r>
              <w:rPr>
                <w:rFonts w:hint="eastAsia"/>
                <w:b/>
                <w:szCs w:val="24"/>
              </w:rPr>
              <w:t>5）非污染生态影响</w:t>
            </w:r>
          </w:p>
          <w:p>
            <w:pPr>
              <w:adjustRightInd w:val="0"/>
              <w:snapToGrid w:val="0"/>
              <w:spacing w:line="360" w:lineRule="auto"/>
              <w:ind w:firstLine="482" w:firstLineChars="200"/>
              <w:rPr>
                <w:b/>
              </w:rPr>
            </w:pPr>
            <w:r>
              <w:rPr>
                <w:rFonts w:hint="eastAsia"/>
                <w:b/>
              </w:rPr>
              <w:t>（1）对土地利用的影响</w:t>
            </w:r>
          </w:p>
          <w:p>
            <w:pPr>
              <w:autoSpaceDE w:val="0"/>
              <w:autoSpaceDN w:val="0"/>
              <w:adjustRightInd w:val="0"/>
              <w:snapToGrid w:val="0"/>
              <w:spacing w:line="360" w:lineRule="auto"/>
              <w:ind w:firstLine="480" w:firstLineChars="200"/>
              <w:contextualSpacing/>
            </w:pPr>
            <w:r>
              <w:rPr>
                <w:rFonts w:hint="eastAsia"/>
              </w:rPr>
              <w:t>本次工程不涉及征用土地，共借用土地18亩，主要作为管道施工时的临时材料及机械设备堆放、临时环保设施占地，占用土地类型主要为乡村道路、村民农用地、农村集体用地、</w:t>
            </w:r>
            <w:r>
              <w:t>灌木林地、</w:t>
            </w:r>
            <w:r>
              <w:rPr>
                <w:rFonts w:hint="eastAsia"/>
              </w:rPr>
              <w:t>农作地等，均为临时占地，不会改变原有土地利用的功能，施工结束后通过</w:t>
            </w:r>
            <w:r>
              <w:t>对临时占地用</w:t>
            </w:r>
            <w:r>
              <w:rPr>
                <w:rFonts w:hint="eastAsia"/>
              </w:rPr>
              <w:t>周边的生态</w:t>
            </w:r>
            <w:r>
              <w:t>进行</w:t>
            </w:r>
            <w:r>
              <w:rPr>
                <w:rFonts w:hint="eastAsia"/>
              </w:rPr>
              <w:t>补偿</w:t>
            </w:r>
            <w:r>
              <w:t>恢复</w:t>
            </w:r>
            <w:r>
              <w:rPr>
                <w:rFonts w:hint="eastAsia"/>
              </w:rPr>
              <w:t>，对道路进行回填修复，</w:t>
            </w:r>
            <w:r>
              <w:t>对土地利用类型变化影响不大，</w:t>
            </w:r>
            <w:r>
              <w:rPr>
                <w:rFonts w:hint="eastAsia"/>
              </w:rPr>
              <w:t>施工期结束后产生的影响也随之结束。</w:t>
            </w:r>
          </w:p>
          <w:p>
            <w:pPr>
              <w:adjustRightInd w:val="0"/>
              <w:snapToGrid w:val="0"/>
              <w:spacing w:line="360" w:lineRule="auto"/>
              <w:ind w:firstLine="482" w:firstLineChars="200"/>
              <w:rPr>
                <w:b/>
                <w:bCs/>
              </w:rPr>
            </w:pPr>
            <w:r>
              <w:rPr>
                <w:b/>
                <w:bCs/>
              </w:rPr>
              <w:t>（2）对</w:t>
            </w:r>
            <w:r>
              <w:rPr>
                <w:rFonts w:hint="eastAsia"/>
                <w:b/>
                <w:bCs/>
              </w:rPr>
              <w:t>动、</w:t>
            </w:r>
            <w:r>
              <w:rPr>
                <w:b/>
                <w:bCs/>
              </w:rPr>
              <w:t>植物资源影响</w:t>
            </w:r>
          </w:p>
          <w:p>
            <w:pPr>
              <w:adjustRightInd w:val="0"/>
              <w:snapToGrid w:val="0"/>
              <w:spacing w:line="360" w:lineRule="auto"/>
              <w:ind w:firstLine="480" w:firstLineChars="200"/>
            </w:pPr>
            <w:r>
              <w:rPr>
                <w:rFonts w:hint="eastAsia"/>
              </w:rPr>
              <w:t>项目大部分管网布设均位于村庄内，受人为活动影响较大，原生植被分布较小，大多为人工耕作地和稀疏灌木丛类，也不存在</w:t>
            </w:r>
            <w:r>
              <w:rPr>
                <w:rFonts w:hint="eastAsia"/>
                <w:bCs/>
                <w:szCs w:val="24"/>
              </w:rPr>
              <w:t>野生保护动物，大多为当地常见的鼠类等小型动物，</w:t>
            </w:r>
            <w:r>
              <w:t>因此项目建设，不会导致区域某个植被类型在项目区内消失。施工结束后，临时占地和项目周围将进行一定的</w:t>
            </w:r>
            <w:r>
              <w:rPr>
                <w:rFonts w:hint="eastAsia"/>
              </w:rPr>
              <w:t>植被恢复</w:t>
            </w:r>
            <w:r>
              <w:t>和生态保护，当地生态环境会得到恢复。因此，项目建设不会使区域</w:t>
            </w:r>
            <w:r>
              <w:rPr>
                <w:rFonts w:hint="eastAsia"/>
              </w:rPr>
              <w:t>内动植物资源造成较大的影响</w:t>
            </w:r>
            <w:r>
              <w:t>。</w:t>
            </w:r>
          </w:p>
          <w:p>
            <w:pPr>
              <w:adjustRightInd w:val="0"/>
              <w:snapToGrid w:val="0"/>
              <w:spacing w:line="360" w:lineRule="auto"/>
              <w:ind w:firstLine="482" w:firstLineChars="200"/>
              <w:rPr>
                <w:b/>
                <w:bCs/>
              </w:rPr>
            </w:pPr>
            <w:r>
              <w:rPr>
                <w:rFonts w:hint="eastAsia"/>
                <w:b/>
                <w:bCs/>
              </w:rPr>
              <w:t>6）水土流失的影响</w:t>
            </w:r>
          </w:p>
          <w:p>
            <w:pPr>
              <w:adjustRightInd w:val="0"/>
              <w:snapToGrid w:val="0"/>
              <w:spacing w:line="360" w:lineRule="auto"/>
              <w:ind w:firstLine="480" w:firstLineChars="200"/>
              <w:rPr>
                <w:b/>
                <w:bCs/>
                <w:szCs w:val="24"/>
              </w:rPr>
            </w:pPr>
            <w:r>
              <w:rPr>
                <w:rFonts w:hint="eastAsia"/>
              </w:rPr>
              <w:t>本工程建设中新增的水土流失量主要集中在开挖管沟两侧的土方临时堆放区。</w:t>
            </w:r>
            <w:r>
              <w:rPr>
                <w:rFonts w:hint="eastAsia"/>
                <w:bCs/>
              </w:rPr>
              <w:t>开挖的土石方若不及时处理，随意堆置，暴雨时会被冲至项目周边道路，造成道路泥沙淤积，在雨天则会造成浑水浊流、道路泥泞，在晴天则会发生尘土飞扬、遮天蔽日的现象，影响道路环境，严重时造成街道路面积水，行人及行车不便。</w:t>
            </w:r>
            <w:r>
              <w:rPr>
                <w:rFonts w:hint="eastAsia"/>
              </w:rPr>
              <w:t>为尽量减少工程建设施工中造成的水土流失，同时减轻对周边的生态环境造成影响和破坏，本环评要求对开挖的土方采取集中堆放，并在临时堆放区设置挡土墙、排洪沟，同时，尽量避开雨天或雨季进行开挖施工，对前期开挖的裸露路面采取相应防治措施，尽量缩短暴露时间，最大限度的减少项目区域内的水土流失。</w:t>
            </w:r>
            <w:r>
              <w:rPr>
                <w:rFonts w:hint="eastAsia"/>
                <w:szCs w:val="24"/>
              </w:rPr>
              <w:t>项目施工结束后，对其临时占地区恢复原地貌。</w:t>
            </w:r>
            <w:r>
              <w:rPr>
                <w:rFonts w:hint="eastAsia"/>
              </w:rPr>
              <w:t>在落实截排水和土石方等原材料的遮挡覆盖等水土保持措施后，本工程的建设到对当地生态环境造成的水土流失影响不大。</w:t>
            </w:r>
          </w:p>
          <w:p>
            <w:pPr>
              <w:adjustRightInd w:val="0"/>
              <w:snapToGrid w:val="0"/>
              <w:spacing w:line="360" w:lineRule="auto"/>
              <w:ind w:firstLine="562" w:firstLineChars="200"/>
              <w:rPr>
                <w:b/>
                <w:bCs/>
                <w:sz w:val="28"/>
                <w:szCs w:val="28"/>
              </w:rPr>
            </w:pPr>
            <w:r>
              <w:rPr>
                <w:rFonts w:hint="eastAsia"/>
                <w:b/>
                <w:bCs/>
                <w:sz w:val="28"/>
                <w:szCs w:val="28"/>
              </w:rPr>
              <w:t>（</w:t>
            </w:r>
            <w:r>
              <w:rPr>
                <w:b/>
                <w:bCs/>
                <w:sz w:val="28"/>
                <w:szCs w:val="28"/>
              </w:rPr>
              <w:t>二</w:t>
            </w:r>
            <w:r>
              <w:rPr>
                <w:rFonts w:hint="eastAsia"/>
                <w:b/>
                <w:bCs/>
                <w:sz w:val="28"/>
                <w:szCs w:val="28"/>
              </w:rPr>
              <w:t>）</w:t>
            </w:r>
            <w:r>
              <w:rPr>
                <w:b/>
                <w:bCs/>
                <w:sz w:val="28"/>
                <w:szCs w:val="28"/>
              </w:rPr>
              <w:t>运营期环境影响分析</w:t>
            </w:r>
          </w:p>
          <w:p>
            <w:pPr>
              <w:adjustRightInd w:val="0"/>
              <w:snapToGrid w:val="0"/>
              <w:spacing w:line="360" w:lineRule="auto"/>
              <w:ind w:firstLine="480" w:firstLineChars="200"/>
              <w:rPr>
                <w:szCs w:val="24"/>
              </w:rPr>
            </w:pPr>
            <w:r>
              <w:rPr>
                <w:rFonts w:hint="eastAsia"/>
                <w:szCs w:val="24"/>
              </w:rPr>
              <w:t>本项目三座污水处理厂在运营过程中主要的环境影响为废气、噪声及污泥。</w:t>
            </w:r>
          </w:p>
          <w:p>
            <w:pPr>
              <w:spacing w:line="360" w:lineRule="auto"/>
              <w:ind w:firstLine="482" w:firstLineChars="200"/>
              <w:rPr>
                <w:b/>
                <w:bCs/>
                <w:szCs w:val="24"/>
              </w:rPr>
            </w:pPr>
            <w:r>
              <w:rPr>
                <w:rFonts w:hint="eastAsia"/>
                <w:b/>
                <w:bCs/>
                <w:szCs w:val="24"/>
              </w:rPr>
              <w:t>1、大气环境影响分析</w:t>
            </w:r>
          </w:p>
          <w:p>
            <w:pPr>
              <w:spacing w:line="360" w:lineRule="auto"/>
              <w:ind w:firstLine="600" w:firstLineChars="250"/>
              <w:rPr>
                <w:rFonts w:hAnsi="宋体"/>
              </w:rPr>
            </w:pPr>
            <w:r>
              <w:rPr>
                <w:rFonts w:hint="eastAsia"/>
              </w:rPr>
              <w:t>根据工程分析，本项目污水处理厂在营运期产生的大气污染物主要成分为氨、硫化氢，由于本项目属于“未批先建”，目前已处于正常运行阶段。因此，本项目的三座污水厂的大气环境影响分析主要从预测分析和类比分析两个方面进行影响评价。</w:t>
            </w:r>
          </w:p>
          <w:p>
            <w:pPr>
              <w:spacing w:line="336" w:lineRule="auto"/>
              <w:ind w:firstLine="480"/>
              <w:rPr>
                <w:b/>
                <w:bCs/>
                <w:color w:val="000000"/>
                <w:szCs w:val="32"/>
              </w:rPr>
            </w:pPr>
            <w:r>
              <w:rPr>
                <w:rFonts w:hint="eastAsia"/>
                <w:b/>
                <w:bCs/>
                <w:color w:val="000000"/>
                <w:szCs w:val="32"/>
              </w:rPr>
              <w:t>1）预测分析</w:t>
            </w:r>
          </w:p>
          <w:p>
            <w:pPr>
              <w:spacing w:line="336" w:lineRule="auto"/>
              <w:ind w:firstLine="480"/>
              <w:rPr>
                <w:color w:val="000000"/>
                <w:szCs w:val="32"/>
              </w:rPr>
            </w:pPr>
            <w:r>
              <w:rPr>
                <w:rFonts w:hint="eastAsia"/>
                <w:color w:val="000000"/>
                <w:szCs w:val="32"/>
              </w:rPr>
              <w:t>依据《环境影响评价技术导则-大气环境》(HJ2.2-2018)中5.3节工作等级的确定方及</w:t>
            </w:r>
            <w:r>
              <w:rPr>
                <w:color w:val="000000"/>
                <w:szCs w:val="32"/>
              </w:rPr>
              <w:t>工程分析，确定大气</w:t>
            </w:r>
            <w:r>
              <w:rPr>
                <w:rFonts w:hint="eastAsia"/>
                <w:color w:val="000000"/>
                <w:szCs w:val="32"/>
              </w:rPr>
              <w:t>影响</w:t>
            </w:r>
            <w:r>
              <w:rPr>
                <w:color w:val="000000"/>
                <w:szCs w:val="32"/>
              </w:rPr>
              <w:t>预测因子为</w:t>
            </w:r>
            <w:r>
              <w:rPr>
                <w:rFonts w:hint="eastAsia"/>
                <w:color w:val="000000"/>
                <w:szCs w:val="32"/>
              </w:rPr>
              <w:t>硫化氢、氨</w:t>
            </w:r>
            <w:r>
              <w:rPr>
                <w:color w:val="000000"/>
                <w:szCs w:val="32"/>
              </w:rPr>
              <w:t>。</w:t>
            </w:r>
            <w:r>
              <w:rPr>
                <w:rFonts w:hint="eastAsia"/>
                <w:color w:val="000000"/>
                <w:szCs w:val="32"/>
              </w:rPr>
              <w:t>本环评采用环安在线的</w:t>
            </w:r>
            <w:r>
              <w:rPr>
                <w:color w:val="000000"/>
                <w:szCs w:val="32"/>
              </w:rPr>
              <w:t>AERSCREEN模</w:t>
            </w:r>
            <w:r>
              <w:rPr>
                <w:rFonts w:hint="eastAsia"/>
                <w:color w:val="000000"/>
                <w:szCs w:val="32"/>
              </w:rPr>
              <w:t>估算软件，对</w:t>
            </w:r>
            <w:r>
              <w:rPr>
                <w:color w:val="000000"/>
                <w:szCs w:val="32"/>
              </w:rPr>
              <w:t>项目污染源在下风向轴线上2500m范围内地面小时污染物浓度</w:t>
            </w:r>
            <w:r>
              <w:rPr>
                <w:rFonts w:hint="eastAsia"/>
                <w:color w:val="000000"/>
                <w:szCs w:val="32"/>
              </w:rPr>
              <w:t>进行预测分析</w:t>
            </w:r>
            <w:r>
              <w:rPr>
                <w:color w:val="000000"/>
                <w:szCs w:val="32"/>
              </w:rPr>
              <w:t>。</w:t>
            </w:r>
          </w:p>
          <w:p>
            <w:pPr>
              <w:spacing w:line="360" w:lineRule="auto"/>
              <w:ind w:firstLine="602" w:firstLineChars="250"/>
              <w:rPr>
                <w:b/>
                <w:bCs/>
              </w:rPr>
            </w:pPr>
            <w:r>
              <w:rPr>
                <w:rFonts w:hint="eastAsia"/>
                <w:b/>
                <w:bCs/>
              </w:rPr>
              <w:t>（1）评价等级的确定</w:t>
            </w:r>
          </w:p>
          <w:p>
            <w:pPr>
              <w:spacing w:line="360" w:lineRule="auto"/>
              <w:ind w:firstLine="480" w:firstLineChars="200"/>
              <w:rPr>
                <w:color w:val="000000"/>
              </w:rPr>
            </w:pPr>
            <w:r>
              <w:rPr>
                <w:color w:val="000000"/>
              </w:rPr>
              <w:t>①Pmax及D10%的确定</w:t>
            </w:r>
          </w:p>
          <w:p>
            <w:pPr>
              <w:spacing w:line="360" w:lineRule="auto"/>
              <w:ind w:firstLine="600" w:firstLineChars="250"/>
            </w:pPr>
            <w:r>
              <w:rPr>
                <w:rFonts w:hint="eastAsia"/>
              </w:rPr>
              <w:drawing>
                <wp:anchor distT="0" distB="0" distL="114300" distR="114300" simplePos="0" relativeHeight="251664384" behindDoc="0" locked="0" layoutInCell="1" allowOverlap="1">
                  <wp:simplePos x="0" y="0"/>
                  <wp:positionH relativeFrom="column">
                    <wp:posOffset>1642745</wp:posOffset>
                  </wp:positionH>
                  <wp:positionV relativeFrom="paragraph">
                    <wp:posOffset>597535</wp:posOffset>
                  </wp:positionV>
                  <wp:extent cx="968375" cy="408305"/>
                  <wp:effectExtent l="19050" t="0" r="0" b="0"/>
                  <wp:wrapTopAndBottom/>
                  <wp:docPr id="408"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44"/>
                          <pic:cNvPicPr>
                            <a:picLocks noChangeAspect="1" noChangeArrowheads="1"/>
                          </pic:cNvPicPr>
                        </pic:nvPicPr>
                        <pic:blipFill>
                          <a:blip r:embed="rId24" cstate="print"/>
                          <a:srcRect/>
                          <a:stretch>
                            <a:fillRect/>
                          </a:stretch>
                        </pic:blipFill>
                        <pic:spPr>
                          <a:xfrm>
                            <a:off x="0" y="0"/>
                            <a:ext cx="968375" cy="408305"/>
                          </a:xfrm>
                          <a:prstGeom prst="rect">
                            <a:avLst/>
                          </a:prstGeom>
                          <a:noFill/>
                          <a:ln w="9525">
                            <a:noFill/>
                            <a:miter lim="800000"/>
                            <a:headEnd/>
                            <a:tailEnd/>
                          </a:ln>
                        </pic:spPr>
                      </pic:pic>
                    </a:graphicData>
                  </a:graphic>
                </wp:anchor>
              </w:drawing>
            </w:r>
            <w:r>
              <w:rPr>
                <w:rFonts w:hint="eastAsia"/>
              </w:rPr>
              <w:t>依据《环境影响评价技术导则 大气环境》(HJ2.2-2018)中最大地面浓度占标率Pi定义如下：</w:t>
            </w:r>
          </w:p>
          <w:p>
            <w:pPr>
              <w:spacing w:line="336" w:lineRule="auto"/>
              <w:rPr>
                <w:color w:val="000000"/>
                <w:szCs w:val="32"/>
              </w:rPr>
            </w:pPr>
            <w:r>
              <w:rPr>
                <w:rFonts w:hint="eastAsia"/>
                <w:color w:val="000000"/>
                <w:szCs w:val="32"/>
              </w:rPr>
              <w:t>——第i个污染物的最大地面空气质量浓度 占标率，%；</w:t>
            </w:r>
          </w:p>
          <w:p>
            <w:pPr>
              <w:spacing w:line="336" w:lineRule="auto"/>
              <w:ind w:firstLine="480"/>
              <w:rPr>
                <w:color w:val="000000"/>
                <w:szCs w:val="32"/>
              </w:rPr>
            </w:pPr>
            <w:r>
              <w:rPr>
                <w:rFonts w:hint="eastAsia"/>
                <w:color w:val="000000"/>
                <w:szCs w:val="32"/>
              </w:rPr>
              <w:t>——采用估算模型计算出的第i个污染物的最大1h地面空气质量浓度，μg/m</w:t>
            </w:r>
            <w:r>
              <w:rPr>
                <w:rFonts w:hint="eastAsia"/>
                <w:color w:val="000000"/>
                <w:szCs w:val="32"/>
                <w:vertAlign w:val="superscript"/>
              </w:rPr>
              <w:t>3</w:t>
            </w:r>
            <w:r>
              <w:rPr>
                <w:rFonts w:hint="eastAsia"/>
                <w:color w:val="000000"/>
                <w:szCs w:val="32"/>
              </w:rPr>
              <w:t>；</w:t>
            </w:r>
          </w:p>
          <w:p>
            <w:pPr>
              <w:spacing w:line="336" w:lineRule="auto"/>
              <w:ind w:firstLine="480"/>
              <w:rPr>
                <w:color w:val="000000"/>
                <w:szCs w:val="32"/>
              </w:rPr>
            </w:pPr>
            <w:r>
              <w:rPr>
                <w:rFonts w:hint="eastAsia"/>
                <w:color w:val="000000"/>
                <w:szCs w:val="32"/>
              </w:rPr>
              <w:t>——第i个污染物的环境空气质量浓度标准，μg/m</w:t>
            </w:r>
            <w:r>
              <w:rPr>
                <w:rFonts w:hint="eastAsia"/>
                <w:color w:val="000000"/>
                <w:szCs w:val="32"/>
                <w:vertAlign w:val="superscript"/>
              </w:rPr>
              <w:t>3</w:t>
            </w:r>
            <w:r>
              <w:rPr>
                <w:rFonts w:hint="eastAsia"/>
                <w:color w:val="000000"/>
                <w:szCs w:val="32"/>
              </w:rPr>
              <w:t>。</w:t>
            </w:r>
          </w:p>
          <w:p>
            <w:pPr>
              <w:spacing w:line="360" w:lineRule="auto"/>
              <w:ind w:firstLine="480" w:firstLineChars="200"/>
              <w:rPr>
                <w:color w:val="000000"/>
              </w:rPr>
            </w:pPr>
            <w:r>
              <w:rPr>
                <w:color w:val="000000"/>
              </w:rPr>
              <w:t>②评价等级判别表</w:t>
            </w:r>
          </w:p>
          <w:p>
            <w:pPr>
              <w:spacing w:line="360" w:lineRule="auto"/>
              <w:ind w:firstLine="480" w:firstLineChars="200"/>
              <w:rPr>
                <w:color w:val="000000"/>
              </w:rPr>
            </w:pPr>
            <w:r>
              <w:rPr>
                <w:color w:val="000000"/>
              </w:rPr>
              <w:t>评价等级按下表的分级判据进行划分：</w:t>
            </w:r>
          </w:p>
          <w:p>
            <w:pPr>
              <w:adjustRightInd w:val="0"/>
              <w:snapToGrid w:val="0"/>
              <w:spacing w:line="360" w:lineRule="auto"/>
              <w:jc w:val="center"/>
              <w:rPr>
                <w:b/>
                <w:bCs/>
                <w:color w:val="000000"/>
                <w:sz w:val="21"/>
                <w:szCs w:val="21"/>
              </w:rPr>
            </w:pPr>
            <w:r>
              <w:rPr>
                <w:b/>
                <w:bCs/>
                <w:color w:val="000000"/>
                <w:sz w:val="21"/>
                <w:szCs w:val="21"/>
              </w:rPr>
              <w:t>表</w:t>
            </w:r>
            <w:r>
              <w:rPr>
                <w:rFonts w:hint="eastAsia"/>
                <w:b/>
                <w:bCs/>
                <w:color w:val="000000"/>
                <w:sz w:val="21"/>
                <w:szCs w:val="21"/>
              </w:rPr>
              <w:t xml:space="preserve">7-2 </w:t>
            </w:r>
            <w:r>
              <w:rPr>
                <w:b/>
                <w:bCs/>
                <w:color w:val="000000"/>
                <w:sz w:val="21"/>
                <w:szCs w:val="21"/>
              </w:rPr>
              <w:t xml:space="preserve"> 评价等级判别表</w:t>
            </w:r>
          </w:p>
          <w:tbl>
            <w:tblPr>
              <w:tblStyle w:val="37"/>
              <w:tblW w:w="0" w:type="auto"/>
              <w:tblInd w:w="1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vAlign w:val="center"/>
                </w:tcPr>
                <w:p>
                  <w:pPr>
                    <w:jc w:val="center"/>
                    <w:rPr>
                      <w:b/>
                      <w:bCs/>
                      <w:color w:val="000000"/>
                      <w:sz w:val="21"/>
                      <w:szCs w:val="21"/>
                    </w:rPr>
                  </w:pPr>
                  <w:r>
                    <w:rPr>
                      <w:b/>
                      <w:bCs/>
                      <w:color w:val="000000"/>
                      <w:sz w:val="21"/>
                      <w:szCs w:val="21"/>
                    </w:rPr>
                    <w:t>评价工作等级</w:t>
                  </w:r>
                </w:p>
              </w:tc>
              <w:tc>
                <w:tcPr>
                  <w:tcW w:w="3791" w:type="dxa"/>
                  <w:vAlign w:val="center"/>
                </w:tcPr>
                <w:p>
                  <w:pPr>
                    <w:jc w:val="center"/>
                    <w:rPr>
                      <w:b/>
                      <w:bCs/>
                      <w:color w:val="000000"/>
                      <w:sz w:val="21"/>
                      <w:szCs w:val="21"/>
                    </w:rPr>
                  </w:pPr>
                  <w:r>
                    <w:rPr>
                      <w:b/>
                      <w:bCs/>
                      <w:color w:val="000000"/>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vAlign w:val="center"/>
                </w:tcPr>
                <w:p>
                  <w:pPr>
                    <w:jc w:val="center"/>
                    <w:rPr>
                      <w:color w:val="000000"/>
                      <w:sz w:val="21"/>
                      <w:szCs w:val="21"/>
                    </w:rPr>
                  </w:pPr>
                  <w:r>
                    <w:rPr>
                      <w:color w:val="000000"/>
                      <w:sz w:val="21"/>
                      <w:szCs w:val="21"/>
                    </w:rPr>
                    <w:t>一级评价</w:t>
                  </w:r>
                </w:p>
              </w:tc>
              <w:tc>
                <w:tcPr>
                  <w:tcW w:w="3791" w:type="dxa"/>
                  <w:vAlign w:val="center"/>
                </w:tcPr>
                <w:p>
                  <w:pPr>
                    <w:jc w:val="center"/>
                    <w:rPr>
                      <w:color w:val="000000"/>
                      <w:sz w:val="21"/>
                      <w:szCs w:val="21"/>
                    </w:rPr>
                  </w:pPr>
                  <w:r>
                    <w:rPr>
                      <w:color w:val="000000"/>
                      <w:sz w:val="21"/>
                      <w:szCs w:val="21"/>
                    </w:rPr>
                    <w:t>Pmax</w:t>
                  </w:r>
                  <w:r>
                    <w:rPr>
                      <w:rFonts w:hint="eastAsia" w:ascii="宋体" w:hAnsi="宋体" w:cs="宋体"/>
                      <w:color w:val="000000"/>
                      <w:sz w:val="21"/>
                      <w:szCs w:val="21"/>
                    </w:rPr>
                    <w:t>≧</w:t>
                  </w:r>
                  <w:r>
                    <w:rPr>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vAlign w:val="center"/>
                </w:tcPr>
                <w:p>
                  <w:pPr>
                    <w:jc w:val="center"/>
                    <w:rPr>
                      <w:color w:val="000000"/>
                      <w:sz w:val="21"/>
                      <w:szCs w:val="21"/>
                    </w:rPr>
                  </w:pPr>
                  <w:r>
                    <w:rPr>
                      <w:color w:val="000000"/>
                      <w:sz w:val="21"/>
                      <w:szCs w:val="21"/>
                    </w:rPr>
                    <w:t>二级评价</w:t>
                  </w:r>
                </w:p>
              </w:tc>
              <w:tc>
                <w:tcPr>
                  <w:tcW w:w="3791" w:type="dxa"/>
                  <w:vAlign w:val="center"/>
                </w:tcPr>
                <w:p>
                  <w:pPr>
                    <w:jc w:val="center"/>
                    <w:rPr>
                      <w:color w:val="000000"/>
                      <w:sz w:val="21"/>
                      <w:szCs w:val="21"/>
                    </w:rPr>
                  </w:pPr>
                  <w:r>
                    <w:rPr>
                      <w:color w:val="000000"/>
                      <w:sz w:val="21"/>
                      <w:szCs w:val="21"/>
                    </w:rPr>
                    <w:t>1%</w:t>
                  </w:r>
                  <w:r>
                    <w:rPr>
                      <w:rFonts w:hint="eastAsia" w:ascii="宋体" w:hAnsi="宋体" w:cs="宋体"/>
                      <w:color w:val="000000"/>
                      <w:sz w:val="21"/>
                      <w:szCs w:val="21"/>
                    </w:rPr>
                    <w:t>≦</w:t>
                  </w:r>
                  <w:r>
                    <w:rPr>
                      <w:color w:val="000000"/>
                      <w:sz w:val="21"/>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8" w:type="dxa"/>
                  <w:vAlign w:val="center"/>
                </w:tcPr>
                <w:p>
                  <w:pPr>
                    <w:jc w:val="center"/>
                    <w:rPr>
                      <w:color w:val="000000"/>
                      <w:sz w:val="21"/>
                      <w:szCs w:val="21"/>
                    </w:rPr>
                  </w:pPr>
                  <w:r>
                    <w:rPr>
                      <w:color w:val="000000"/>
                      <w:sz w:val="21"/>
                      <w:szCs w:val="21"/>
                    </w:rPr>
                    <w:t>三级评价</w:t>
                  </w:r>
                </w:p>
              </w:tc>
              <w:tc>
                <w:tcPr>
                  <w:tcW w:w="3791" w:type="dxa"/>
                  <w:vAlign w:val="center"/>
                </w:tcPr>
                <w:p>
                  <w:pPr>
                    <w:jc w:val="center"/>
                    <w:rPr>
                      <w:color w:val="000000"/>
                      <w:sz w:val="21"/>
                      <w:szCs w:val="21"/>
                    </w:rPr>
                  </w:pPr>
                  <w:r>
                    <w:rPr>
                      <w:color w:val="000000"/>
                      <w:sz w:val="21"/>
                      <w:szCs w:val="21"/>
                    </w:rPr>
                    <w:t>Pmax&lt;1%</w:t>
                  </w:r>
                </w:p>
              </w:tc>
            </w:tr>
          </w:tbl>
          <w:p>
            <w:pPr>
              <w:adjustRightInd w:val="0"/>
              <w:snapToGrid w:val="0"/>
              <w:spacing w:beforeLines="50" w:line="360" w:lineRule="auto"/>
              <w:ind w:firstLine="422" w:firstLineChars="176"/>
              <w:jc w:val="left"/>
              <w:rPr>
                <w:color w:val="000000"/>
                <w:szCs w:val="24"/>
              </w:rPr>
            </w:pPr>
            <w:r>
              <w:rPr>
                <w:rFonts w:hint="eastAsia"/>
                <w:color w:val="000000"/>
                <w:szCs w:val="24"/>
              </w:rPr>
              <w:t>③</w:t>
            </w:r>
            <w:r>
              <w:rPr>
                <w:color w:val="000000"/>
                <w:szCs w:val="24"/>
              </w:rPr>
              <w:t>评价标准</w:t>
            </w:r>
          </w:p>
          <w:p>
            <w:pPr>
              <w:adjustRightInd w:val="0"/>
              <w:snapToGrid w:val="0"/>
              <w:spacing w:line="360" w:lineRule="auto"/>
              <w:ind w:firstLine="422" w:firstLineChars="176"/>
              <w:jc w:val="left"/>
              <w:rPr>
                <w:color w:val="000000"/>
                <w:szCs w:val="24"/>
              </w:rPr>
            </w:pPr>
            <w:r>
              <w:rPr>
                <w:color w:val="000000"/>
                <w:szCs w:val="24"/>
              </w:rPr>
              <w:t>污染物评价标准和来源见下表</w:t>
            </w:r>
            <w:r>
              <w:rPr>
                <w:rFonts w:hint="eastAsia"/>
                <w:color w:val="000000"/>
                <w:szCs w:val="24"/>
              </w:rPr>
              <w:t>：</w:t>
            </w:r>
          </w:p>
          <w:p>
            <w:pPr>
              <w:adjustRightInd w:val="0"/>
              <w:snapToGrid w:val="0"/>
              <w:spacing w:line="360" w:lineRule="auto"/>
              <w:jc w:val="center"/>
              <w:rPr>
                <w:b/>
                <w:bCs/>
                <w:color w:val="000000"/>
                <w:sz w:val="21"/>
                <w:szCs w:val="21"/>
              </w:rPr>
            </w:pPr>
          </w:p>
          <w:p>
            <w:pPr>
              <w:adjustRightInd w:val="0"/>
              <w:snapToGrid w:val="0"/>
              <w:spacing w:beforeLines="50" w:line="360" w:lineRule="auto"/>
              <w:jc w:val="center"/>
              <w:rPr>
                <w:b/>
                <w:bCs/>
                <w:color w:val="000000"/>
                <w:sz w:val="21"/>
                <w:szCs w:val="21"/>
              </w:rPr>
            </w:pPr>
            <w:r>
              <w:rPr>
                <w:b/>
                <w:bCs/>
                <w:color w:val="000000"/>
                <w:sz w:val="21"/>
                <w:szCs w:val="21"/>
              </w:rPr>
              <w:t>表</w:t>
            </w:r>
            <w:r>
              <w:rPr>
                <w:rFonts w:hint="eastAsia"/>
                <w:b/>
                <w:bCs/>
                <w:color w:val="000000"/>
                <w:sz w:val="21"/>
                <w:szCs w:val="21"/>
              </w:rPr>
              <w:t xml:space="preserve">7-3 </w:t>
            </w:r>
            <w:r>
              <w:rPr>
                <w:b/>
                <w:bCs/>
                <w:color w:val="000000"/>
                <w:sz w:val="21"/>
                <w:szCs w:val="21"/>
              </w:rPr>
              <w:t xml:space="preserve"> 污染物评价标准</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138"/>
              <w:gridCol w:w="1099"/>
              <w:gridCol w:w="1688"/>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Align w:val="center"/>
                </w:tcPr>
                <w:p>
                  <w:pPr>
                    <w:jc w:val="center"/>
                    <w:rPr>
                      <w:b/>
                      <w:bCs/>
                      <w:color w:val="000000"/>
                      <w:sz w:val="21"/>
                    </w:rPr>
                  </w:pPr>
                  <w:r>
                    <w:rPr>
                      <w:rFonts w:hint="eastAsia"/>
                      <w:b/>
                      <w:bCs/>
                      <w:color w:val="000000"/>
                      <w:sz w:val="21"/>
                    </w:rPr>
                    <w:t>污染物名称</w:t>
                  </w:r>
                </w:p>
              </w:tc>
              <w:tc>
                <w:tcPr>
                  <w:tcW w:w="1138" w:type="dxa"/>
                  <w:vAlign w:val="center"/>
                </w:tcPr>
                <w:p>
                  <w:pPr>
                    <w:jc w:val="center"/>
                    <w:rPr>
                      <w:b/>
                      <w:bCs/>
                      <w:color w:val="000000"/>
                      <w:sz w:val="21"/>
                    </w:rPr>
                  </w:pPr>
                  <w:r>
                    <w:rPr>
                      <w:rFonts w:hint="eastAsia"/>
                      <w:b/>
                      <w:bCs/>
                      <w:color w:val="000000"/>
                      <w:sz w:val="21"/>
                    </w:rPr>
                    <w:t>功能区</w:t>
                  </w:r>
                </w:p>
              </w:tc>
              <w:tc>
                <w:tcPr>
                  <w:tcW w:w="1099" w:type="dxa"/>
                  <w:vAlign w:val="center"/>
                </w:tcPr>
                <w:p>
                  <w:pPr>
                    <w:jc w:val="center"/>
                    <w:rPr>
                      <w:b/>
                      <w:bCs/>
                      <w:color w:val="000000"/>
                      <w:sz w:val="21"/>
                    </w:rPr>
                  </w:pPr>
                  <w:r>
                    <w:rPr>
                      <w:rFonts w:hint="eastAsia"/>
                      <w:b/>
                      <w:bCs/>
                      <w:color w:val="000000"/>
                      <w:sz w:val="21"/>
                    </w:rPr>
                    <w:t>取值时间</w:t>
                  </w:r>
                </w:p>
              </w:tc>
              <w:tc>
                <w:tcPr>
                  <w:tcW w:w="1688" w:type="dxa"/>
                  <w:vAlign w:val="center"/>
                </w:tcPr>
                <w:p>
                  <w:pPr>
                    <w:jc w:val="center"/>
                    <w:rPr>
                      <w:b/>
                      <w:bCs/>
                      <w:color w:val="000000"/>
                      <w:sz w:val="21"/>
                    </w:rPr>
                  </w:pPr>
                  <w:r>
                    <w:rPr>
                      <w:rFonts w:hint="eastAsia"/>
                      <w:b/>
                      <w:bCs/>
                      <w:color w:val="000000"/>
                      <w:sz w:val="21"/>
                    </w:rPr>
                    <w:t>标准值(μg/m</w:t>
                  </w:r>
                  <w:r>
                    <w:rPr>
                      <w:rFonts w:hint="eastAsia"/>
                      <w:b/>
                      <w:bCs/>
                      <w:color w:val="000000"/>
                      <w:sz w:val="21"/>
                      <w:vertAlign w:val="superscript"/>
                    </w:rPr>
                    <w:t>3</w:t>
                  </w:r>
                  <w:r>
                    <w:rPr>
                      <w:rFonts w:hint="eastAsia"/>
                      <w:b/>
                      <w:bCs/>
                      <w:color w:val="000000"/>
                      <w:sz w:val="21"/>
                    </w:rPr>
                    <w:t>)</w:t>
                  </w:r>
                </w:p>
              </w:tc>
              <w:tc>
                <w:tcPr>
                  <w:tcW w:w="3346" w:type="dxa"/>
                  <w:vAlign w:val="center"/>
                </w:tcPr>
                <w:p>
                  <w:pPr>
                    <w:jc w:val="center"/>
                    <w:rPr>
                      <w:b/>
                      <w:bCs/>
                      <w:color w:val="000000"/>
                      <w:sz w:val="21"/>
                    </w:rPr>
                  </w:pPr>
                  <w:r>
                    <w:rPr>
                      <w:rFonts w:hint="eastAsia"/>
                      <w:b/>
                      <w:bCs/>
                      <w:color w:val="000000"/>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3" w:type="dxa"/>
                  <w:vAlign w:val="center"/>
                </w:tcPr>
                <w:p>
                  <w:pPr>
                    <w:jc w:val="center"/>
                    <w:rPr>
                      <w:color w:val="000000"/>
                      <w:sz w:val="21"/>
                    </w:rPr>
                  </w:pPr>
                  <w:r>
                    <w:rPr>
                      <w:rFonts w:hint="eastAsia"/>
                      <w:color w:val="000000"/>
                      <w:sz w:val="21"/>
                    </w:rPr>
                    <w:t>硫化氢</w:t>
                  </w:r>
                </w:p>
              </w:tc>
              <w:tc>
                <w:tcPr>
                  <w:tcW w:w="1138" w:type="dxa"/>
                  <w:vAlign w:val="center"/>
                </w:tcPr>
                <w:p>
                  <w:pPr>
                    <w:jc w:val="center"/>
                    <w:rPr>
                      <w:color w:val="000000"/>
                      <w:sz w:val="21"/>
                    </w:rPr>
                  </w:pPr>
                  <w:r>
                    <w:rPr>
                      <w:rFonts w:hint="eastAsia"/>
                      <w:color w:val="000000"/>
                      <w:sz w:val="21"/>
                    </w:rPr>
                    <w:t>二类限区</w:t>
                  </w:r>
                </w:p>
              </w:tc>
              <w:tc>
                <w:tcPr>
                  <w:tcW w:w="1099" w:type="dxa"/>
                  <w:vAlign w:val="center"/>
                </w:tcPr>
                <w:p>
                  <w:pPr>
                    <w:jc w:val="center"/>
                    <w:rPr>
                      <w:color w:val="000000"/>
                      <w:sz w:val="21"/>
                    </w:rPr>
                  </w:pPr>
                  <w:r>
                    <w:rPr>
                      <w:rFonts w:hint="eastAsia"/>
                      <w:color w:val="000000"/>
                      <w:sz w:val="21"/>
                    </w:rPr>
                    <w:t>1h平均</w:t>
                  </w:r>
                </w:p>
              </w:tc>
              <w:tc>
                <w:tcPr>
                  <w:tcW w:w="1688" w:type="dxa"/>
                  <w:vAlign w:val="center"/>
                </w:tcPr>
                <w:p>
                  <w:pPr>
                    <w:jc w:val="center"/>
                    <w:rPr>
                      <w:color w:val="000000"/>
                      <w:sz w:val="21"/>
                    </w:rPr>
                  </w:pPr>
                  <w:r>
                    <w:rPr>
                      <w:rFonts w:hint="eastAsia"/>
                      <w:color w:val="000000"/>
                      <w:sz w:val="21"/>
                    </w:rPr>
                    <w:t>10.0</w:t>
                  </w:r>
                </w:p>
              </w:tc>
              <w:tc>
                <w:tcPr>
                  <w:tcW w:w="3346" w:type="dxa"/>
                  <w:vMerge w:val="restart"/>
                  <w:vAlign w:val="center"/>
                </w:tcPr>
                <w:p>
                  <w:pPr>
                    <w:jc w:val="center"/>
                    <w:rPr>
                      <w:color w:val="000000"/>
                      <w:sz w:val="21"/>
                    </w:rPr>
                  </w:pPr>
                  <w:r>
                    <w:rPr>
                      <w:rFonts w:hint="eastAsia" w:cs="宋体"/>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Align w:val="center"/>
                </w:tcPr>
                <w:p>
                  <w:pPr>
                    <w:jc w:val="center"/>
                    <w:rPr>
                      <w:color w:val="000000"/>
                      <w:sz w:val="21"/>
                    </w:rPr>
                  </w:pPr>
                  <w:r>
                    <w:rPr>
                      <w:rFonts w:hint="eastAsia"/>
                      <w:color w:val="000000"/>
                      <w:sz w:val="21"/>
                    </w:rPr>
                    <w:t>氨</w:t>
                  </w:r>
                </w:p>
              </w:tc>
              <w:tc>
                <w:tcPr>
                  <w:tcW w:w="1138" w:type="dxa"/>
                  <w:vAlign w:val="center"/>
                </w:tcPr>
                <w:p>
                  <w:pPr>
                    <w:jc w:val="center"/>
                    <w:rPr>
                      <w:color w:val="000000"/>
                      <w:sz w:val="21"/>
                    </w:rPr>
                  </w:pPr>
                  <w:r>
                    <w:rPr>
                      <w:rFonts w:hint="eastAsia"/>
                      <w:color w:val="000000"/>
                      <w:sz w:val="21"/>
                    </w:rPr>
                    <w:t>二类限区</w:t>
                  </w:r>
                </w:p>
              </w:tc>
              <w:tc>
                <w:tcPr>
                  <w:tcW w:w="1099" w:type="dxa"/>
                  <w:vAlign w:val="center"/>
                </w:tcPr>
                <w:p>
                  <w:pPr>
                    <w:jc w:val="center"/>
                    <w:rPr>
                      <w:color w:val="000000"/>
                      <w:sz w:val="21"/>
                    </w:rPr>
                  </w:pPr>
                  <w:r>
                    <w:rPr>
                      <w:rFonts w:hint="eastAsia"/>
                      <w:color w:val="000000"/>
                      <w:sz w:val="21"/>
                    </w:rPr>
                    <w:t>一小时</w:t>
                  </w:r>
                </w:p>
              </w:tc>
              <w:tc>
                <w:tcPr>
                  <w:tcW w:w="1688" w:type="dxa"/>
                  <w:vAlign w:val="center"/>
                </w:tcPr>
                <w:p>
                  <w:pPr>
                    <w:jc w:val="center"/>
                    <w:rPr>
                      <w:color w:val="000000"/>
                      <w:sz w:val="21"/>
                    </w:rPr>
                  </w:pPr>
                  <w:r>
                    <w:rPr>
                      <w:rFonts w:hint="eastAsia"/>
                      <w:color w:val="000000"/>
                      <w:sz w:val="21"/>
                    </w:rPr>
                    <w:t>200.0</w:t>
                  </w:r>
                </w:p>
              </w:tc>
              <w:tc>
                <w:tcPr>
                  <w:tcW w:w="3346" w:type="dxa"/>
                  <w:vMerge w:val="continue"/>
                  <w:vAlign w:val="center"/>
                </w:tcPr>
                <w:p>
                  <w:pPr>
                    <w:jc w:val="center"/>
                    <w:rPr>
                      <w:rFonts w:cs="宋体"/>
                      <w:sz w:val="21"/>
                      <w:szCs w:val="21"/>
                    </w:rPr>
                  </w:pPr>
                </w:p>
              </w:tc>
            </w:tr>
          </w:tbl>
          <w:p>
            <w:pPr>
              <w:adjustRightInd w:val="0"/>
              <w:snapToGrid w:val="0"/>
              <w:spacing w:beforeLines="50" w:line="360" w:lineRule="auto"/>
              <w:ind w:firstLine="480" w:firstLineChars="200"/>
              <w:rPr>
                <w:color w:val="000000"/>
                <w:szCs w:val="32"/>
              </w:rPr>
            </w:pPr>
            <w:r>
              <w:rPr>
                <w:rFonts w:hint="eastAsia"/>
                <w:color w:val="000000"/>
                <w:szCs w:val="32"/>
              </w:rPr>
              <w:t>④</w:t>
            </w:r>
            <w:r>
              <w:rPr>
                <w:color w:val="000000"/>
                <w:szCs w:val="32"/>
              </w:rPr>
              <w:t>预测</w:t>
            </w:r>
            <w:r>
              <w:rPr>
                <w:rFonts w:hint="eastAsia"/>
                <w:color w:val="000000"/>
                <w:szCs w:val="32"/>
              </w:rPr>
              <w:t>参数</w:t>
            </w:r>
          </w:p>
          <w:p>
            <w:pPr>
              <w:adjustRightInd w:val="0"/>
              <w:snapToGrid w:val="0"/>
              <w:spacing w:line="360" w:lineRule="auto"/>
              <w:ind w:firstLine="480" w:firstLineChars="200"/>
              <w:rPr>
                <w:color w:val="000000"/>
                <w:szCs w:val="32"/>
              </w:rPr>
            </w:pPr>
            <w:r>
              <w:rPr>
                <w:rFonts w:hint="eastAsia"/>
                <w:color w:val="000000"/>
                <w:szCs w:val="32"/>
              </w:rPr>
              <w:t>本环评采用环安在线的</w:t>
            </w:r>
            <w:r>
              <w:rPr>
                <w:color w:val="000000"/>
                <w:szCs w:val="32"/>
              </w:rPr>
              <w:t>AERSCREEN模</w:t>
            </w:r>
            <w:r>
              <w:rPr>
                <w:rFonts w:hint="eastAsia"/>
                <w:color w:val="000000"/>
                <w:szCs w:val="32"/>
              </w:rPr>
              <w:t>估算软件对项目污染的排放进行估算，选取的参数见下表：</w:t>
            </w:r>
          </w:p>
          <w:p>
            <w:pPr>
              <w:pStyle w:val="105"/>
              <w:spacing w:line="360" w:lineRule="auto"/>
              <w:ind w:firstLine="422"/>
              <w:rPr>
                <w:rFonts w:eastAsia="宋体"/>
                <w:b/>
                <w:bCs/>
                <w:color w:val="000000"/>
                <w:szCs w:val="21"/>
              </w:rPr>
            </w:pPr>
            <w:r>
              <w:rPr>
                <w:rFonts w:eastAsia="宋体"/>
                <w:b/>
                <w:bCs/>
                <w:color w:val="000000"/>
                <w:szCs w:val="21"/>
              </w:rPr>
              <w:t>表</w:t>
            </w:r>
            <w:r>
              <w:rPr>
                <w:rFonts w:hint="eastAsia" w:eastAsia="宋体"/>
                <w:b/>
                <w:bCs/>
                <w:color w:val="000000"/>
                <w:szCs w:val="21"/>
              </w:rPr>
              <w:t>7-4</w:t>
            </w:r>
            <w:r>
              <w:rPr>
                <w:rFonts w:eastAsia="宋体"/>
                <w:b/>
                <w:bCs/>
                <w:color w:val="000000"/>
                <w:szCs w:val="21"/>
              </w:rPr>
              <w:t xml:space="preserve">  </w:t>
            </w:r>
            <w:r>
              <w:rPr>
                <w:rFonts w:hint="eastAsia" w:eastAsia="宋体"/>
                <w:b/>
                <w:bCs/>
                <w:color w:val="000000"/>
                <w:szCs w:val="21"/>
              </w:rPr>
              <w:t>邓川污水厂</w:t>
            </w:r>
            <w:r>
              <w:rPr>
                <w:rFonts w:eastAsia="宋体"/>
                <w:b/>
                <w:bCs/>
                <w:color w:val="000000"/>
                <w:szCs w:val="21"/>
              </w:rPr>
              <w:t>估算模式参数取值一览表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406"/>
              <w:gridCol w:w="1696"/>
              <w:gridCol w:w="1697"/>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01" w:type="dxa"/>
                  <w:gridSpan w:val="2"/>
                  <w:vAlign w:val="center"/>
                </w:tcPr>
                <w:p>
                  <w:pPr>
                    <w:pStyle w:val="86"/>
                    <w:widowControl/>
                    <w:adjustRightInd/>
                    <w:snapToGrid/>
                    <w:spacing w:before="62"/>
                    <w:ind w:firstLine="422"/>
                    <w:rPr>
                      <w:rFonts w:ascii="Times New Roman" w:hAnsi="Times New Roman"/>
                      <w:b/>
                      <w:bCs/>
                      <w:color w:val="000000"/>
                      <w:kern w:val="2"/>
                      <w:sz w:val="21"/>
                      <w:szCs w:val="21"/>
                    </w:rPr>
                  </w:pPr>
                  <w:r>
                    <w:rPr>
                      <w:rFonts w:ascii="Times New Roman" w:hAnsi="Times New Roman"/>
                      <w:b/>
                      <w:bCs/>
                      <w:color w:val="000000"/>
                      <w:kern w:val="2"/>
                      <w:sz w:val="21"/>
                      <w:szCs w:val="21"/>
                    </w:rPr>
                    <w:t>参数</w:t>
                  </w:r>
                </w:p>
              </w:tc>
              <w:tc>
                <w:tcPr>
                  <w:tcW w:w="1696" w:type="dxa"/>
                  <w:vAlign w:val="center"/>
                </w:tcPr>
                <w:p>
                  <w:pPr>
                    <w:pStyle w:val="86"/>
                    <w:widowControl/>
                    <w:adjustRightInd/>
                    <w:snapToGrid/>
                    <w:spacing w:before="62"/>
                    <w:rPr>
                      <w:rFonts w:ascii="Times New Roman" w:hAnsi="Times New Roman"/>
                      <w:b/>
                      <w:bCs/>
                      <w:color w:val="000000"/>
                      <w:kern w:val="2"/>
                      <w:sz w:val="21"/>
                      <w:szCs w:val="21"/>
                    </w:rPr>
                  </w:pPr>
                  <w:r>
                    <w:rPr>
                      <w:rFonts w:hint="eastAsia" w:ascii="Times New Roman" w:hAnsi="Times New Roman"/>
                      <w:b/>
                      <w:bCs/>
                      <w:color w:val="000000"/>
                      <w:kern w:val="2"/>
                      <w:sz w:val="21"/>
                      <w:szCs w:val="21"/>
                    </w:rPr>
                    <w:t>邓川污水厂</w:t>
                  </w:r>
                </w:p>
              </w:tc>
              <w:tc>
                <w:tcPr>
                  <w:tcW w:w="1697" w:type="dxa"/>
                  <w:vAlign w:val="center"/>
                </w:tcPr>
                <w:p>
                  <w:pPr>
                    <w:pStyle w:val="86"/>
                    <w:widowControl/>
                    <w:adjustRightInd/>
                    <w:snapToGrid/>
                    <w:spacing w:before="62"/>
                    <w:rPr>
                      <w:rFonts w:ascii="Times New Roman" w:hAnsi="Times New Roman"/>
                      <w:b/>
                      <w:bCs/>
                      <w:color w:val="000000"/>
                      <w:kern w:val="2"/>
                      <w:sz w:val="21"/>
                      <w:szCs w:val="21"/>
                    </w:rPr>
                  </w:pPr>
                  <w:r>
                    <w:rPr>
                      <w:rFonts w:hint="eastAsia" w:ascii="Times New Roman" w:hAnsi="Times New Roman"/>
                      <w:b/>
                      <w:bCs/>
                      <w:color w:val="000000"/>
                      <w:kern w:val="2"/>
                      <w:sz w:val="21"/>
                      <w:szCs w:val="21"/>
                    </w:rPr>
                    <w:t>右所污水厂</w:t>
                  </w:r>
                </w:p>
              </w:tc>
              <w:tc>
                <w:tcPr>
                  <w:tcW w:w="1697" w:type="dxa"/>
                  <w:vAlign w:val="center"/>
                </w:tcPr>
                <w:p>
                  <w:pPr>
                    <w:pStyle w:val="86"/>
                    <w:widowControl/>
                    <w:adjustRightInd/>
                    <w:snapToGrid/>
                    <w:spacing w:before="62"/>
                    <w:rPr>
                      <w:rFonts w:ascii="Times New Roman" w:hAnsi="Times New Roman"/>
                      <w:b/>
                      <w:bCs/>
                      <w:color w:val="000000"/>
                      <w:kern w:val="2"/>
                      <w:sz w:val="21"/>
                      <w:szCs w:val="21"/>
                    </w:rPr>
                  </w:pPr>
                  <w:r>
                    <w:rPr>
                      <w:rFonts w:hint="eastAsia" w:ascii="Times New Roman" w:hAnsi="Times New Roman"/>
                      <w:b/>
                      <w:bCs/>
                      <w:color w:val="000000"/>
                      <w:kern w:val="2"/>
                      <w:sz w:val="21"/>
                      <w:szCs w:val="21"/>
                    </w:rPr>
                    <w:t>牛街污水厂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城市/农村选项</w:t>
                  </w: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城市/农村</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农村</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农村</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人口数（城市选项时）</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最高环境温度/</w:t>
                  </w:r>
                  <w:r>
                    <w:rPr>
                      <w:rFonts w:hint="eastAsia" w:cs="宋体"/>
                      <w:bCs/>
                      <w:color w:val="000000"/>
                      <w:kern w:val="2"/>
                      <w:sz w:val="21"/>
                      <w:szCs w:val="21"/>
                    </w:rPr>
                    <w:t>℃</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34</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34</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最低环境温度/</w:t>
                  </w:r>
                  <w:r>
                    <w:rPr>
                      <w:rFonts w:hint="eastAsia" w:cs="宋体"/>
                      <w:bCs/>
                      <w:color w:val="000000"/>
                      <w:kern w:val="2"/>
                      <w:sz w:val="21"/>
                      <w:szCs w:val="21"/>
                    </w:rPr>
                    <w:t>℃</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-4.3</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-4.3</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土地利用类型</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农田</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农田</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区域湿度条件</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潮湿</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潮湿</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是否考虑地形</w:t>
                  </w:r>
                </w:p>
              </w:tc>
              <w:tc>
                <w:tcPr>
                  <w:tcW w:w="2406" w:type="dxa"/>
                  <w:vAlign w:val="center"/>
                </w:tcPr>
                <w:p>
                  <w:pPr>
                    <w:pStyle w:val="86"/>
                    <w:widowControl/>
                    <w:adjustRightInd/>
                    <w:snapToGrid/>
                    <w:spacing w:before="62"/>
                    <w:ind w:firstLine="420"/>
                    <w:jc w:val="both"/>
                    <w:rPr>
                      <w:rFonts w:ascii="Times New Roman" w:hAnsi="Times New Roman"/>
                      <w:bCs/>
                      <w:color w:val="000000"/>
                      <w:kern w:val="2"/>
                      <w:sz w:val="21"/>
                      <w:szCs w:val="21"/>
                    </w:rPr>
                  </w:pPr>
                  <w:r>
                    <w:rPr>
                      <w:rFonts w:ascii="Times New Roman" w:hAnsi="Times New Roman"/>
                      <w:bCs/>
                      <w:color w:val="000000"/>
                      <w:kern w:val="2"/>
                      <w:sz w:val="21"/>
                      <w:szCs w:val="21"/>
                    </w:rPr>
                    <w:t>考虑地形</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地形数据分辨率/m</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是否考虑岸线熏烟</w:t>
                  </w: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是否考虑岸线熏烟</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岸线距离/km</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岸线方向/°</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r>
          </w:tbl>
          <w:p>
            <w:pPr>
              <w:adjustRightInd w:val="0"/>
              <w:snapToGrid w:val="0"/>
              <w:spacing w:beforeLines="50" w:line="360" w:lineRule="auto"/>
              <w:ind w:firstLine="480" w:firstLineChars="200"/>
              <w:rPr>
                <w:color w:val="000000"/>
              </w:rPr>
            </w:pPr>
            <w:r>
              <w:rPr>
                <w:rFonts w:hint="eastAsia"/>
                <w:color w:val="000000"/>
              </w:rPr>
              <w:t>⑤</w:t>
            </w:r>
            <w:r>
              <w:rPr>
                <w:color w:val="000000"/>
              </w:rPr>
              <w:t>污染源参数</w:t>
            </w:r>
          </w:p>
          <w:p>
            <w:pPr>
              <w:adjustRightInd w:val="0"/>
              <w:snapToGrid w:val="0"/>
              <w:spacing w:line="360" w:lineRule="auto"/>
              <w:ind w:firstLine="480" w:firstLineChars="200"/>
              <w:rPr>
                <w:b/>
                <w:bCs/>
                <w:color w:val="000000"/>
              </w:rPr>
            </w:pPr>
            <w:r>
              <w:rPr>
                <w:color w:val="000000"/>
              </w:rPr>
              <w:t>根据工程分析，本项目</w:t>
            </w:r>
            <w:r>
              <w:rPr>
                <w:rFonts w:hint="eastAsia"/>
                <w:color w:val="000000"/>
              </w:rPr>
              <w:t>以整个污水处理厂为面源进行预测分析，正常工况下</w:t>
            </w:r>
            <w:r>
              <w:rPr>
                <w:color w:val="000000"/>
              </w:rPr>
              <w:t>主要废气污染源排放参数见下表：</w:t>
            </w:r>
          </w:p>
          <w:p>
            <w:pPr>
              <w:adjustRightInd w:val="0"/>
              <w:snapToGrid w:val="0"/>
              <w:spacing w:line="360" w:lineRule="auto"/>
              <w:ind w:firstLine="371" w:firstLineChars="176"/>
              <w:jc w:val="center"/>
              <w:rPr>
                <w:b/>
                <w:bCs/>
                <w:color w:val="000000"/>
              </w:rPr>
            </w:pPr>
            <w:r>
              <w:rPr>
                <w:b/>
                <w:bCs/>
                <w:color w:val="000000"/>
                <w:sz w:val="21"/>
                <w:szCs w:val="16"/>
              </w:rPr>
              <w:t>表7-</w:t>
            </w:r>
            <w:r>
              <w:rPr>
                <w:rFonts w:hint="eastAsia"/>
                <w:b/>
                <w:bCs/>
                <w:color w:val="000000"/>
                <w:sz w:val="21"/>
                <w:szCs w:val="16"/>
              </w:rPr>
              <w:t>5</w:t>
            </w:r>
            <w:r>
              <w:rPr>
                <w:b/>
                <w:bCs/>
                <w:color w:val="000000"/>
                <w:sz w:val="21"/>
                <w:szCs w:val="16"/>
              </w:rPr>
              <w:t xml:space="preserve"> 主要废气污染源参数一览表（矩形面源）</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04"/>
              <w:gridCol w:w="825"/>
              <w:gridCol w:w="795"/>
              <w:gridCol w:w="825"/>
              <w:gridCol w:w="765"/>
              <w:gridCol w:w="810"/>
              <w:gridCol w:w="851"/>
              <w:gridCol w:w="866"/>
              <w:gridCol w:w="584"/>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pPr>
                    <w:jc w:val="center"/>
                    <w:rPr>
                      <w:b/>
                      <w:bCs/>
                      <w:color w:val="000000"/>
                      <w:sz w:val="21"/>
                      <w:szCs w:val="21"/>
                    </w:rPr>
                  </w:pPr>
                  <w:r>
                    <w:rPr>
                      <w:b/>
                      <w:bCs/>
                      <w:color w:val="000000"/>
                      <w:sz w:val="21"/>
                      <w:szCs w:val="21"/>
                    </w:rPr>
                    <w:t>项目</w:t>
                  </w:r>
                </w:p>
              </w:tc>
              <w:tc>
                <w:tcPr>
                  <w:tcW w:w="1629" w:type="dxa"/>
                  <w:gridSpan w:val="2"/>
                  <w:vAlign w:val="center"/>
                </w:tcPr>
                <w:p>
                  <w:pPr>
                    <w:snapToGrid w:val="0"/>
                    <w:jc w:val="center"/>
                    <w:rPr>
                      <w:b/>
                      <w:bCs/>
                      <w:color w:val="000000"/>
                      <w:sz w:val="21"/>
                      <w:szCs w:val="21"/>
                    </w:rPr>
                  </w:pPr>
                  <w:r>
                    <w:rPr>
                      <w:b/>
                      <w:bCs/>
                      <w:color w:val="000000"/>
                      <w:sz w:val="21"/>
                      <w:szCs w:val="21"/>
                    </w:rPr>
                    <w:t xml:space="preserve">面源起点坐标                                                                                         </w:t>
                  </w:r>
                </w:p>
              </w:tc>
              <w:tc>
                <w:tcPr>
                  <w:tcW w:w="795" w:type="dxa"/>
                  <w:vMerge w:val="restart"/>
                  <w:vAlign w:val="center"/>
                </w:tcPr>
                <w:p>
                  <w:pPr>
                    <w:snapToGrid w:val="0"/>
                    <w:jc w:val="center"/>
                    <w:rPr>
                      <w:b/>
                      <w:bCs/>
                      <w:color w:val="000000"/>
                      <w:sz w:val="21"/>
                      <w:szCs w:val="21"/>
                    </w:rPr>
                  </w:pPr>
                  <w:r>
                    <w:rPr>
                      <w:b/>
                      <w:bCs/>
                      <w:color w:val="000000"/>
                      <w:sz w:val="21"/>
                      <w:szCs w:val="21"/>
                    </w:rPr>
                    <w:t>面源海拔高度(m)</w:t>
                  </w:r>
                </w:p>
              </w:tc>
              <w:tc>
                <w:tcPr>
                  <w:tcW w:w="3251" w:type="dxa"/>
                  <w:gridSpan w:val="4"/>
                  <w:vAlign w:val="center"/>
                </w:tcPr>
                <w:p>
                  <w:pPr>
                    <w:snapToGrid w:val="0"/>
                    <w:jc w:val="center"/>
                    <w:rPr>
                      <w:b/>
                      <w:bCs/>
                      <w:color w:val="000000"/>
                      <w:sz w:val="21"/>
                      <w:szCs w:val="21"/>
                    </w:rPr>
                  </w:pPr>
                  <w:r>
                    <w:rPr>
                      <w:b/>
                      <w:bCs/>
                      <w:color w:val="000000"/>
                      <w:sz w:val="21"/>
                      <w:szCs w:val="21"/>
                    </w:rPr>
                    <w:t>矩形面源尺寸</w:t>
                  </w:r>
                </w:p>
              </w:tc>
              <w:tc>
                <w:tcPr>
                  <w:tcW w:w="866" w:type="dxa"/>
                  <w:vMerge w:val="restart"/>
                  <w:vAlign w:val="center"/>
                </w:tcPr>
                <w:p>
                  <w:pPr>
                    <w:snapToGrid w:val="0"/>
                    <w:jc w:val="center"/>
                    <w:rPr>
                      <w:b/>
                      <w:bCs/>
                      <w:color w:val="000000"/>
                      <w:sz w:val="21"/>
                      <w:szCs w:val="21"/>
                    </w:rPr>
                  </w:pPr>
                  <w:r>
                    <w:rPr>
                      <w:b/>
                      <w:bCs/>
                      <w:color w:val="000000"/>
                      <w:sz w:val="21"/>
                      <w:szCs w:val="21"/>
                    </w:rPr>
                    <w:t xml:space="preserve">年排放小时数/h  </w:t>
                  </w:r>
                </w:p>
              </w:tc>
              <w:tc>
                <w:tcPr>
                  <w:tcW w:w="1302" w:type="dxa"/>
                  <w:gridSpan w:val="2"/>
                  <w:vMerge w:val="restart"/>
                  <w:vAlign w:val="center"/>
                </w:tcPr>
                <w:p>
                  <w:pPr>
                    <w:snapToGrid w:val="0"/>
                    <w:jc w:val="left"/>
                    <w:rPr>
                      <w:b/>
                      <w:bCs/>
                      <w:color w:val="000000"/>
                      <w:sz w:val="21"/>
                      <w:szCs w:val="21"/>
                    </w:rPr>
                  </w:pPr>
                  <w:r>
                    <w:rPr>
                      <w:b/>
                      <w:bCs/>
                      <w:color w:val="000000"/>
                      <w:sz w:val="21"/>
                      <w:szCs w:val="21"/>
                    </w:rPr>
                    <w:t>污染物排放速率（</w:t>
                  </w:r>
                  <w:r>
                    <w:rPr>
                      <w:color w:val="000000"/>
                      <w:sz w:val="21"/>
                      <w:szCs w:val="21"/>
                    </w:rPr>
                    <w:t>g/h</w:t>
                  </w:r>
                  <w:r>
                    <w:rPr>
                      <w:b/>
                      <w:bCs/>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8" w:type="dxa"/>
                  <w:vMerge w:val="continue"/>
                  <w:vAlign w:val="center"/>
                </w:tcPr>
                <w:p>
                  <w:pPr>
                    <w:snapToGrid w:val="0"/>
                    <w:jc w:val="center"/>
                    <w:rPr>
                      <w:b/>
                      <w:bCs/>
                      <w:color w:val="000000"/>
                      <w:sz w:val="21"/>
                      <w:szCs w:val="21"/>
                    </w:rPr>
                  </w:pPr>
                </w:p>
              </w:tc>
              <w:tc>
                <w:tcPr>
                  <w:tcW w:w="804" w:type="dxa"/>
                  <w:vMerge w:val="restart"/>
                  <w:vAlign w:val="center"/>
                </w:tcPr>
                <w:p>
                  <w:pPr>
                    <w:snapToGrid w:val="0"/>
                    <w:jc w:val="center"/>
                    <w:rPr>
                      <w:b/>
                      <w:bCs/>
                      <w:color w:val="000000"/>
                      <w:sz w:val="21"/>
                      <w:szCs w:val="21"/>
                    </w:rPr>
                  </w:pPr>
                  <w:r>
                    <w:rPr>
                      <w:b/>
                      <w:bCs/>
                      <w:color w:val="000000"/>
                      <w:sz w:val="21"/>
                      <w:szCs w:val="21"/>
                    </w:rPr>
                    <w:t>经度</w:t>
                  </w:r>
                </w:p>
              </w:tc>
              <w:tc>
                <w:tcPr>
                  <w:tcW w:w="825" w:type="dxa"/>
                  <w:vMerge w:val="restart"/>
                  <w:vAlign w:val="center"/>
                </w:tcPr>
                <w:p>
                  <w:pPr>
                    <w:snapToGrid w:val="0"/>
                    <w:jc w:val="center"/>
                    <w:rPr>
                      <w:b/>
                      <w:bCs/>
                      <w:color w:val="000000"/>
                      <w:sz w:val="21"/>
                      <w:szCs w:val="21"/>
                    </w:rPr>
                  </w:pPr>
                  <w:r>
                    <w:rPr>
                      <w:b/>
                      <w:bCs/>
                      <w:color w:val="000000"/>
                      <w:sz w:val="21"/>
                      <w:szCs w:val="21"/>
                    </w:rPr>
                    <w:t>纬度</w:t>
                  </w:r>
                </w:p>
              </w:tc>
              <w:tc>
                <w:tcPr>
                  <w:tcW w:w="795" w:type="dxa"/>
                  <w:vMerge w:val="continue"/>
                  <w:vAlign w:val="center"/>
                </w:tcPr>
                <w:p>
                  <w:pPr>
                    <w:snapToGrid w:val="0"/>
                    <w:jc w:val="center"/>
                    <w:rPr>
                      <w:b/>
                      <w:bCs/>
                      <w:color w:val="000000"/>
                      <w:sz w:val="21"/>
                      <w:szCs w:val="21"/>
                    </w:rPr>
                  </w:pPr>
                </w:p>
              </w:tc>
              <w:tc>
                <w:tcPr>
                  <w:tcW w:w="825" w:type="dxa"/>
                  <w:vMerge w:val="restart"/>
                  <w:vAlign w:val="center"/>
                </w:tcPr>
                <w:p>
                  <w:pPr>
                    <w:snapToGrid w:val="0"/>
                    <w:jc w:val="center"/>
                    <w:rPr>
                      <w:b/>
                      <w:bCs/>
                      <w:color w:val="000000"/>
                      <w:sz w:val="21"/>
                      <w:szCs w:val="21"/>
                    </w:rPr>
                  </w:pPr>
                  <w:r>
                    <w:rPr>
                      <w:b/>
                      <w:bCs/>
                      <w:color w:val="000000"/>
                      <w:sz w:val="21"/>
                      <w:szCs w:val="21"/>
                    </w:rPr>
                    <w:t xml:space="preserve">长度                                                                                             </w:t>
                  </w:r>
                </w:p>
                <w:p>
                  <w:pPr>
                    <w:snapToGrid w:val="0"/>
                    <w:jc w:val="center"/>
                    <w:rPr>
                      <w:b/>
                      <w:bCs/>
                      <w:color w:val="000000"/>
                      <w:sz w:val="21"/>
                      <w:szCs w:val="21"/>
                    </w:rPr>
                  </w:pPr>
                  <w:r>
                    <w:rPr>
                      <w:b/>
                      <w:bCs/>
                      <w:color w:val="000000"/>
                      <w:sz w:val="21"/>
                      <w:szCs w:val="21"/>
                    </w:rPr>
                    <w:t>(m)</w:t>
                  </w:r>
                </w:p>
              </w:tc>
              <w:tc>
                <w:tcPr>
                  <w:tcW w:w="765" w:type="dxa"/>
                  <w:vMerge w:val="restart"/>
                  <w:vAlign w:val="center"/>
                </w:tcPr>
                <w:p>
                  <w:pPr>
                    <w:snapToGrid w:val="0"/>
                    <w:jc w:val="center"/>
                    <w:rPr>
                      <w:b/>
                      <w:bCs/>
                      <w:color w:val="000000"/>
                      <w:sz w:val="21"/>
                      <w:szCs w:val="21"/>
                    </w:rPr>
                  </w:pPr>
                  <w:r>
                    <w:rPr>
                      <w:b/>
                      <w:bCs/>
                      <w:color w:val="000000"/>
                      <w:sz w:val="21"/>
                      <w:szCs w:val="21"/>
                    </w:rPr>
                    <w:t>宽度</w:t>
                  </w:r>
                </w:p>
                <w:p>
                  <w:pPr>
                    <w:snapToGrid w:val="0"/>
                    <w:jc w:val="center"/>
                    <w:rPr>
                      <w:b/>
                      <w:bCs/>
                      <w:color w:val="000000"/>
                      <w:sz w:val="21"/>
                      <w:szCs w:val="21"/>
                    </w:rPr>
                  </w:pPr>
                  <w:r>
                    <w:rPr>
                      <w:b/>
                      <w:bCs/>
                      <w:color w:val="000000"/>
                      <w:sz w:val="21"/>
                      <w:szCs w:val="21"/>
                    </w:rPr>
                    <w:t>(m)</w:t>
                  </w:r>
                </w:p>
              </w:tc>
              <w:tc>
                <w:tcPr>
                  <w:tcW w:w="810" w:type="dxa"/>
                  <w:vMerge w:val="restart"/>
                  <w:vAlign w:val="center"/>
                </w:tcPr>
                <w:p>
                  <w:pPr>
                    <w:snapToGrid w:val="0"/>
                    <w:jc w:val="center"/>
                    <w:rPr>
                      <w:b/>
                      <w:bCs/>
                      <w:color w:val="000000"/>
                      <w:sz w:val="21"/>
                      <w:szCs w:val="21"/>
                    </w:rPr>
                  </w:pPr>
                  <w:r>
                    <w:rPr>
                      <w:b/>
                      <w:bCs/>
                      <w:color w:val="000000"/>
                      <w:sz w:val="21"/>
                      <w:szCs w:val="21"/>
                    </w:rPr>
                    <w:t>与正北向夹角/°</w:t>
                  </w:r>
                </w:p>
              </w:tc>
              <w:tc>
                <w:tcPr>
                  <w:tcW w:w="851" w:type="dxa"/>
                  <w:vMerge w:val="restart"/>
                  <w:vAlign w:val="center"/>
                </w:tcPr>
                <w:p>
                  <w:pPr>
                    <w:snapToGrid w:val="0"/>
                    <w:jc w:val="center"/>
                    <w:rPr>
                      <w:b/>
                      <w:bCs/>
                      <w:color w:val="000000"/>
                      <w:sz w:val="21"/>
                      <w:szCs w:val="21"/>
                    </w:rPr>
                  </w:pPr>
                  <w:r>
                    <w:rPr>
                      <w:b/>
                      <w:bCs/>
                      <w:color w:val="000000"/>
                      <w:sz w:val="21"/>
                      <w:szCs w:val="21"/>
                    </w:rPr>
                    <w:t>有效排放高度(m)</w:t>
                  </w:r>
                </w:p>
              </w:tc>
              <w:tc>
                <w:tcPr>
                  <w:tcW w:w="866" w:type="dxa"/>
                  <w:vMerge w:val="continue"/>
                  <w:vAlign w:val="center"/>
                </w:tcPr>
                <w:p>
                  <w:pPr>
                    <w:snapToGrid w:val="0"/>
                    <w:jc w:val="center"/>
                    <w:rPr>
                      <w:b/>
                      <w:bCs/>
                      <w:color w:val="000000"/>
                      <w:sz w:val="21"/>
                      <w:szCs w:val="21"/>
                    </w:rPr>
                  </w:pPr>
                </w:p>
              </w:tc>
              <w:tc>
                <w:tcPr>
                  <w:tcW w:w="1302" w:type="dxa"/>
                  <w:gridSpan w:val="2"/>
                  <w:vMerge w:val="continue"/>
                  <w:vAlign w:val="center"/>
                </w:tcPr>
                <w:p>
                  <w:pPr>
                    <w:snapToGrid w:val="0"/>
                    <w:jc w:val="center"/>
                    <w:rPr>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8" w:type="dxa"/>
                  <w:vMerge w:val="continue"/>
                  <w:vAlign w:val="center"/>
                </w:tcPr>
                <w:p>
                  <w:pPr>
                    <w:snapToGrid w:val="0"/>
                    <w:jc w:val="center"/>
                    <w:rPr>
                      <w:sz w:val="21"/>
                      <w:szCs w:val="21"/>
                    </w:rPr>
                  </w:pPr>
                </w:p>
              </w:tc>
              <w:tc>
                <w:tcPr>
                  <w:tcW w:w="804" w:type="dxa"/>
                  <w:vMerge w:val="continue"/>
                  <w:vAlign w:val="center"/>
                </w:tcPr>
                <w:p>
                  <w:pPr>
                    <w:snapToGrid w:val="0"/>
                    <w:jc w:val="center"/>
                    <w:rPr>
                      <w:sz w:val="21"/>
                      <w:szCs w:val="21"/>
                    </w:rPr>
                  </w:pPr>
                </w:p>
              </w:tc>
              <w:tc>
                <w:tcPr>
                  <w:tcW w:w="825" w:type="dxa"/>
                  <w:vMerge w:val="continue"/>
                  <w:vAlign w:val="center"/>
                </w:tcPr>
                <w:p>
                  <w:pPr>
                    <w:snapToGrid w:val="0"/>
                    <w:jc w:val="center"/>
                    <w:rPr>
                      <w:sz w:val="21"/>
                      <w:szCs w:val="21"/>
                    </w:rPr>
                  </w:pPr>
                </w:p>
              </w:tc>
              <w:tc>
                <w:tcPr>
                  <w:tcW w:w="795" w:type="dxa"/>
                  <w:vMerge w:val="continue"/>
                  <w:vAlign w:val="center"/>
                </w:tcPr>
                <w:p>
                  <w:pPr>
                    <w:snapToGrid w:val="0"/>
                    <w:jc w:val="center"/>
                    <w:rPr>
                      <w:sz w:val="21"/>
                      <w:szCs w:val="21"/>
                    </w:rPr>
                  </w:pPr>
                </w:p>
              </w:tc>
              <w:tc>
                <w:tcPr>
                  <w:tcW w:w="825" w:type="dxa"/>
                  <w:vMerge w:val="continue"/>
                  <w:vAlign w:val="center"/>
                </w:tcPr>
                <w:p>
                  <w:pPr>
                    <w:snapToGrid w:val="0"/>
                    <w:jc w:val="center"/>
                    <w:rPr>
                      <w:sz w:val="21"/>
                      <w:szCs w:val="21"/>
                    </w:rPr>
                  </w:pPr>
                </w:p>
              </w:tc>
              <w:tc>
                <w:tcPr>
                  <w:tcW w:w="765" w:type="dxa"/>
                  <w:vMerge w:val="continue"/>
                  <w:vAlign w:val="center"/>
                </w:tcPr>
                <w:p>
                  <w:pPr>
                    <w:snapToGrid w:val="0"/>
                    <w:jc w:val="center"/>
                    <w:rPr>
                      <w:sz w:val="21"/>
                      <w:szCs w:val="21"/>
                    </w:rPr>
                  </w:pPr>
                </w:p>
              </w:tc>
              <w:tc>
                <w:tcPr>
                  <w:tcW w:w="810" w:type="dxa"/>
                  <w:vMerge w:val="continue"/>
                  <w:vAlign w:val="center"/>
                </w:tcPr>
                <w:p>
                  <w:pPr>
                    <w:snapToGrid w:val="0"/>
                    <w:jc w:val="center"/>
                    <w:rPr>
                      <w:sz w:val="21"/>
                      <w:szCs w:val="21"/>
                    </w:rPr>
                  </w:pPr>
                </w:p>
              </w:tc>
              <w:tc>
                <w:tcPr>
                  <w:tcW w:w="851" w:type="dxa"/>
                  <w:vMerge w:val="continue"/>
                  <w:vAlign w:val="center"/>
                </w:tcPr>
                <w:p>
                  <w:pPr>
                    <w:snapToGrid w:val="0"/>
                    <w:jc w:val="center"/>
                    <w:rPr>
                      <w:sz w:val="21"/>
                      <w:szCs w:val="21"/>
                    </w:rPr>
                  </w:pPr>
                </w:p>
              </w:tc>
              <w:tc>
                <w:tcPr>
                  <w:tcW w:w="866" w:type="dxa"/>
                  <w:vMerge w:val="continue"/>
                  <w:vAlign w:val="center"/>
                </w:tcPr>
                <w:p>
                  <w:pPr>
                    <w:snapToGrid w:val="0"/>
                    <w:jc w:val="center"/>
                    <w:rPr>
                      <w:sz w:val="21"/>
                      <w:szCs w:val="21"/>
                    </w:rPr>
                  </w:pPr>
                </w:p>
              </w:tc>
              <w:tc>
                <w:tcPr>
                  <w:tcW w:w="584" w:type="dxa"/>
                  <w:vAlign w:val="center"/>
                </w:tcPr>
                <w:p>
                  <w:pPr>
                    <w:snapToGrid w:val="0"/>
                    <w:jc w:val="center"/>
                    <w:rPr>
                      <w:b/>
                      <w:bCs/>
                      <w:color w:val="000000"/>
                      <w:sz w:val="21"/>
                      <w:szCs w:val="21"/>
                    </w:rPr>
                  </w:pPr>
                  <w:r>
                    <w:rPr>
                      <w:b/>
                      <w:bCs/>
                      <w:color w:val="000000"/>
                      <w:sz w:val="21"/>
                      <w:szCs w:val="21"/>
                    </w:rPr>
                    <w:t>氨</w:t>
                  </w:r>
                </w:p>
              </w:tc>
              <w:tc>
                <w:tcPr>
                  <w:tcW w:w="718" w:type="dxa"/>
                  <w:vAlign w:val="center"/>
                </w:tcPr>
                <w:p>
                  <w:pPr>
                    <w:snapToGrid w:val="0"/>
                    <w:jc w:val="center"/>
                    <w:rPr>
                      <w:b/>
                      <w:bCs/>
                      <w:color w:val="000000"/>
                      <w:sz w:val="21"/>
                      <w:szCs w:val="21"/>
                    </w:rPr>
                  </w:pPr>
                  <w:r>
                    <w:rPr>
                      <w:b/>
                      <w:bCs/>
                      <w:color w:val="000000"/>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left"/>
                    <w:rPr>
                      <w:color w:val="000000"/>
                      <w:sz w:val="21"/>
                      <w:szCs w:val="21"/>
                    </w:rPr>
                  </w:pPr>
                  <w:r>
                    <w:rPr>
                      <w:color w:val="000000"/>
                      <w:sz w:val="21"/>
                      <w:szCs w:val="21"/>
                    </w:rPr>
                    <w:t>邓川厂</w:t>
                  </w:r>
                </w:p>
              </w:tc>
              <w:tc>
                <w:tcPr>
                  <w:tcW w:w="804" w:type="dxa"/>
                  <w:vAlign w:val="center"/>
                </w:tcPr>
                <w:p>
                  <w:pPr>
                    <w:jc w:val="center"/>
                    <w:rPr>
                      <w:sz w:val="21"/>
                      <w:szCs w:val="21"/>
                    </w:rPr>
                  </w:pPr>
                  <w:r>
                    <w:rPr>
                      <w:sz w:val="21"/>
                      <w:szCs w:val="21"/>
                    </w:rPr>
                    <w:t>100.097743</w:t>
                  </w:r>
                </w:p>
              </w:tc>
              <w:tc>
                <w:tcPr>
                  <w:tcW w:w="825" w:type="dxa"/>
                  <w:vAlign w:val="center"/>
                </w:tcPr>
                <w:p>
                  <w:pPr>
                    <w:jc w:val="center"/>
                    <w:rPr>
                      <w:sz w:val="21"/>
                      <w:szCs w:val="21"/>
                    </w:rPr>
                  </w:pPr>
                  <w:r>
                    <w:rPr>
                      <w:sz w:val="21"/>
                      <w:szCs w:val="21"/>
                    </w:rPr>
                    <w:t>25.987439</w:t>
                  </w:r>
                </w:p>
              </w:tc>
              <w:tc>
                <w:tcPr>
                  <w:tcW w:w="795" w:type="dxa"/>
                  <w:vAlign w:val="center"/>
                </w:tcPr>
                <w:p>
                  <w:pPr>
                    <w:jc w:val="center"/>
                    <w:rPr>
                      <w:color w:val="000000"/>
                      <w:sz w:val="21"/>
                      <w:szCs w:val="21"/>
                    </w:rPr>
                  </w:pPr>
                  <w:r>
                    <w:rPr>
                      <w:color w:val="000000"/>
                      <w:sz w:val="21"/>
                      <w:szCs w:val="21"/>
                    </w:rPr>
                    <w:t>1969.0</w:t>
                  </w:r>
                </w:p>
              </w:tc>
              <w:tc>
                <w:tcPr>
                  <w:tcW w:w="825" w:type="dxa"/>
                  <w:vAlign w:val="center"/>
                </w:tcPr>
                <w:p>
                  <w:pPr>
                    <w:jc w:val="center"/>
                    <w:rPr>
                      <w:color w:val="000000"/>
                      <w:sz w:val="21"/>
                      <w:szCs w:val="21"/>
                    </w:rPr>
                  </w:pPr>
                  <w:r>
                    <w:rPr>
                      <w:color w:val="000000"/>
                      <w:sz w:val="21"/>
                      <w:szCs w:val="21"/>
                    </w:rPr>
                    <w:t>100.69</w:t>
                  </w:r>
                </w:p>
              </w:tc>
              <w:tc>
                <w:tcPr>
                  <w:tcW w:w="765" w:type="dxa"/>
                  <w:vAlign w:val="center"/>
                </w:tcPr>
                <w:p>
                  <w:pPr>
                    <w:jc w:val="center"/>
                    <w:rPr>
                      <w:color w:val="000000"/>
                      <w:sz w:val="21"/>
                      <w:szCs w:val="21"/>
                    </w:rPr>
                  </w:pPr>
                  <w:r>
                    <w:rPr>
                      <w:color w:val="000000"/>
                      <w:sz w:val="21"/>
                      <w:szCs w:val="21"/>
                    </w:rPr>
                    <w:t>44.73</w:t>
                  </w:r>
                </w:p>
              </w:tc>
              <w:tc>
                <w:tcPr>
                  <w:tcW w:w="810" w:type="dxa"/>
                  <w:vAlign w:val="center"/>
                </w:tcPr>
                <w:p>
                  <w:pPr>
                    <w:jc w:val="center"/>
                    <w:rPr>
                      <w:color w:val="000000"/>
                      <w:sz w:val="21"/>
                      <w:szCs w:val="21"/>
                    </w:rPr>
                  </w:pPr>
                  <w:r>
                    <w:rPr>
                      <w:color w:val="000000"/>
                      <w:sz w:val="21"/>
                      <w:szCs w:val="21"/>
                    </w:rPr>
                    <w:t>90</w:t>
                  </w:r>
                </w:p>
              </w:tc>
              <w:tc>
                <w:tcPr>
                  <w:tcW w:w="851" w:type="dxa"/>
                  <w:vAlign w:val="center"/>
                </w:tcPr>
                <w:p>
                  <w:pPr>
                    <w:jc w:val="center"/>
                    <w:rPr>
                      <w:color w:val="000000"/>
                      <w:sz w:val="21"/>
                      <w:szCs w:val="21"/>
                    </w:rPr>
                  </w:pPr>
                  <w:r>
                    <w:rPr>
                      <w:color w:val="000000"/>
                      <w:sz w:val="21"/>
                      <w:szCs w:val="21"/>
                    </w:rPr>
                    <w:t>10</w:t>
                  </w:r>
                </w:p>
              </w:tc>
              <w:tc>
                <w:tcPr>
                  <w:tcW w:w="866" w:type="dxa"/>
                  <w:vAlign w:val="center"/>
                </w:tcPr>
                <w:p>
                  <w:pPr>
                    <w:jc w:val="center"/>
                    <w:rPr>
                      <w:color w:val="000000"/>
                      <w:sz w:val="21"/>
                      <w:szCs w:val="21"/>
                    </w:rPr>
                  </w:pPr>
                  <w:r>
                    <w:rPr>
                      <w:color w:val="000000"/>
                      <w:sz w:val="21"/>
                      <w:szCs w:val="21"/>
                    </w:rPr>
                    <w:t>8760</w:t>
                  </w:r>
                </w:p>
              </w:tc>
              <w:tc>
                <w:tcPr>
                  <w:tcW w:w="584" w:type="dxa"/>
                  <w:vAlign w:val="center"/>
                </w:tcPr>
                <w:p>
                  <w:pPr>
                    <w:jc w:val="center"/>
                    <w:rPr>
                      <w:sz w:val="21"/>
                      <w:szCs w:val="21"/>
                    </w:rPr>
                  </w:pPr>
                  <w:r>
                    <w:rPr>
                      <w:sz w:val="21"/>
                      <w:szCs w:val="21"/>
                    </w:rPr>
                    <w:t>3.15</w:t>
                  </w:r>
                </w:p>
              </w:tc>
              <w:tc>
                <w:tcPr>
                  <w:tcW w:w="718" w:type="dxa"/>
                  <w:vAlign w:val="center"/>
                </w:tcPr>
                <w:p>
                  <w:pPr>
                    <w:jc w:val="center"/>
                    <w:rPr>
                      <w:sz w:val="21"/>
                      <w:szCs w:val="21"/>
                    </w:rPr>
                  </w:pPr>
                  <w:r>
                    <w:rPr>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left"/>
                    <w:rPr>
                      <w:color w:val="000000"/>
                      <w:sz w:val="21"/>
                      <w:szCs w:val="21"/>
                    </w:rPr>
                  </w:pPr>
                  <w:r>
                    <w:rPr>
                      <w:color w:val="000000"/>
                      <w:sz w:val="21"/>
                      <w:szCs w:val="21"/>
                    </w:rPr>
                    <w:t>右所厂</w:t>
                  </w:r>
                </w:p>
              </w:tc>
              <w:tc>
                <w:tcPr>
                  <w:tcW w:w="804" w:type="dxa"/>
                  <w:vAlign w:val="center"/>
                </w:tcPr>
                <w:p>
                  <w:pPr>
                    <w:jc w:val="center"/>
                    <w:rPr>
                      <w:color w:val="000000"/>
                      <w:sz w:val="21"/>
                      <w:szCs w:val="21"/>
                    </w:rPr>
                  </w:pPr>
                  <w:r>
                    <w:rPr>
                      <w:color w:val="000000"/>
                      <w:sz w:val="21"/>
                      <w:szCs w:val="21"/>
                    </w:rPr>
                    <w:t>100.052721</w:t>
                  </w:r>
                </w:p>
              </w:tc>
              <w:tc>
                <w:tcPr>
                  <w:tcW w:w="825" w:type="dxa"/>
                  <w:vAlign w:val="center"/>
                </w:tcPr>
                <w:p>
                  <w:pPr>
                    <w:jc w:val="center"/>
                    <w:rPr>
                      <w:color w:val="000000"/>
                      <w:sz w:val="21"/>
                      <w:szCs w:val="21"/>
                    </w:rPr>
                  </w:pPr>
                  <w:r>
                    <w:rPr>
                      <w:color w:val="000000"/>
                      <w:sz w:val="21"/>
                      <w:szCs w:val="21"/>
                    </w:rPr>
                    <w:t>26.015878</w:t>
                  </w:r>
                </w:p>
              </w:tc>
              <w:tc>
                <w:tcPr>
                  <w:tcW w:w="795" w:type="dxa"/>
                  <w:vAlign w:val="center"/>
                </w:tcPr>
                <w:p>
                  <w:pPr>
                    <w:jc w:val="center"/>
                    <w:rPr>
                      <w:color w:val="000000"/>
                      <w:sz w:val="21"/>
                      <w:szCs w:val="21"/>
                    </w:rPr>
                  </w:pPr>
                  <w:r>
                    <w:rPr>
                      <w:color w:val="000000"/>
                      <w:sz w:val="21"/>
                      <w:szCs w:val="21"/>
                    </w:rPr>
                    <w:t>1965.0</w:t>
                  </w:r>
                </w:p>
              </w:tc>
              <w:tc>
                <w:tcPr>
                  <w:tcW w:w="825" w:type="dxa"/>
                  <w:vAlign w:val="center"/>
                </w:tcPr>
                <w:p>
                  <w:pPr>
                    <w:jc w:val="center"/>
                    <w:rPr>
                      <w:color w:val="000000"/>
                      <w:sz w:val="21"/>
                      <w:szCs w:val="21"/>
                    </w:rPr>
                  </w:pPr>
                  <w:r>
                    <w:rPr>
                      <w:color w:val="000000"/>
                      <w:sz w:val="21"/>
                      <w:szCs w:val="21"/>
                    </w:rPr>
                    <w:t>47.28</w:t>
                  </w:r>
                </w:p>
              </w:tc>
              <w:tc>
                <w:tcPr>
                  <w:tcW w:w="765" w:type="dxa"/>
                  <w:vAlign w:val="center"/>
                </w:tcPr>
                <w:p>
                  <w:pPr>
                    <w:jc w:val="center"/>
                    <w:rPr>
                      <w:color w:val="000000"/>
                      <w:sz w:val="21"/>
                      <w:szCs w:val="21"/>
                    </w:rPr>
                  </w:pPr>
                  <w:r>
                    <w:rPr>
                      <w:color w:val="000000"/>
                      <w:sz w:val="21"/>
                      <w:szCs w:val="21"/>
                    </w:rPr>
                    <w:t>52.64</w:t>
                  </w:r>
                </w:p>
              </w:tc>
              <w:tc>
                <w:tcPr>
                  <w:tcW w:w="810" w:type="dxa"/>
                  <w:vAlign w:val="center"/>
                </w:tcPr>
                <w:p>
                  <w:pPr>
                    <w:jc w:val="center"/>
                    <w:rPr>
                      <w:color w:val="000000"/>
                      <w:sz w:val="21"/>
                      <w:szCs w:val="21"/>
                    </w:rPr>
                  </w:pPr>
                  <w:r>
                    <w:rPr>
                      <w:color w:val="000000"/>
                      <w:sz w:val="21"/>
                      <w:szCs w:val="21"/>
                    </w:rPr>
                    <w:t>45</w:t>
                  </w:r>
                </w:p>
              </w:tc>
              <w:tc>
                <w:tcPr>
                  <w:tcW w:w="851" w:type="dxa"/>
                  <w:vAlign w:val="center"/>
                </w:tcPr>
                <w:p>
                  <w:pPr>
                    <w:jc w:val="center"/>
                    <w:rPr>
                      <w:color w:val="000000"/>
                      <w:sz w:val="21"/>
                      <w:szCs w:val="21"/>
                    </w:rPr>
                  </w:pPr>
                  <w:r>
                    <w:rPr>
                      <w:color w:val="000000"/>
                      <w:sz w:val="21"/>
                      <w:szCs w:val="21"/>
                    </w:rPr>
                    <w:t>10</w:t>
                  </w:r>
                </w:p>
              </w:tc>
              <w:tc>
                <w:tcPr>
                  <w:tcW w:w="866" w:type="dxa"/>
                  <w:vAlign w:val="center"/>
                </w:tcPr>
                <w:p>
                  <w:pPr>
                    <w:jc w:val="center"/>
                    <w:rPr>
                      <w:color w:val="000000"/>
                      <w:sz w:val="21"/>
                      <w:szCs w:val="21"/>
                    </w:rPr>
                  </w:pPr>
                  <w:r>
                    <w:rPr>
                      <w:color w:val="000000"/>
                      <w:sz w:val="21"/>
                      <w:szCs w:val="21"/>
                    </w:rPr>
                    <w:t>8760</w:t>
                  </w:r>
                </w:p>
              </w:tc>
              <w:tc>
                <w:tcPr>
                  <w:tcW w:w="584" w:type="dxa"/>
                  <w:vAlign w:val="center"/>
                </w:tcPr>
                <w:p>
                  <w:pPr>
                    <w:jc w:val="center"/>
                    <w:rPr>
                      <w:sz w:val="21"/>
                      <w:szCs w:val="21"/>
                    </w:rPr>
                  </w:pPr>
                  <w:r>
                    <w:rPr>
                      <w:sz w:val="21"/>
                      <w:szCs w:val="21"/>
                    </w:rPr>
                    <w:t>1.58</w:t>
                  </w:r>
                </w:p>
              </w:tc>
              <w:tc>
                <w:tcPr>
                  <w:tcW w:w="718" w:type="dxa"/>
                  <w:vAlign w:val="center"/>
                </w:tcPr>
                <w:p>
                  <w:pPr>
                    <w:jc w:val="center"/>
                    <w:rPr>
                      <w:sz w:val="21"/>
                      <w:szCs w:val="21"/>
                    </w:rPr>
                  </w:pPr>
                  <w:r>
                    <w:rPr>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left"/>
                    <w:rPr>
                      <w:color w:val="000000"/>
                      <w:sz w:val="21"/>
                      <w:szCs w:val="21"/>
                    </w:rPr>
                  </w:pPr>
                  <w:r>
                    <w:rPr>
                      <w:color w:val="000000"/>
                      <w:sz w:val="21"/>
                      <w:szCs w:val="21"/>
                    </w:rPr>
                    <w:t>牛街厂</w:t>
                  </w:r>
                </w:p>
              </w:tc>
              <w:tc>
                <w:tcPr>
                  <w:tcW w:w="804" w:type="dxa"/>
                  <w:vAlign w:val="center"/>
                </w:tcPr>
                <w:p>
                  <w:pPr>
                    <w:jc w:val="center"/>
                    <w:rPr>
                      <w:sz w:val="21"/>
                      <w:szCs w:val="21"/>
                    </w:rPr>
                  </w:pPr>
                  <w:r>
                    <w:rPr>
                      <w:sz w:val="21"/>
                      <w:szCs w:val="21"/>
                    </w:rPr>
                    <w:t>99.983897</w:t>
                  </w:r>
                </w:p>
              </w:tc>
              <w:tc>
                <w:tcPr>
                  <w:tcW w:w="825" w:type="dxa"/>
                  <w:vAlign w:val="center"/>
                </w:tcPr>
                <w:p>
                  <w:pPr>
                    <w:jc w:val="center"/>
                    <w:rPr>
                      <w:sz w:val="21"/>
                      <w:szCs w:val="21"/>
                    </w:rPr>
                  </w:pPr>
                  <w:r>
                    <w:rPr>
                      <w:sz w:val="21"/>
                      <w:szCs w:val="21"/>
                    </w:rPr>
                    <w:t>26.247465</w:t>
                  </w:r>
                </w:p>
              </w:tc>
              <w:tc>
                <w:tcPr>
                  <w:tcW w:w="795" w:type="dxa"/>
                  <w:vAlign w:val="center"/>
                </w:tcPr>
                <w:p>
                  <w:pPr>
                    <w:jc w:val="center"/>
                    <w:rPr>
                      <w:sz w:val="21"/>
                      <w:szCs w:val="21"/>
                    </w:rPr>
                  </w:pPr>
                  <w:r>
                    <w:rPr>
                      <w:sz w:val="21"/>
                      <w:szCs w:val="21"/>
                    </w:rPr>
                    <w:t>2093.0</w:t>
                  </w:r>
                </w:p>
              </w:tc>
              <w:tc>
                <w:tcPr>
                  <w:tcW w:w="825" w:type="dxa"/>
                  <w:vAlign w:val="center"/>
                </w:tcPr>
                <w:p>
                  <w:pPr>
                    <w:jc w:val="center"/>
                    <w:rPr>
                      <w:sz w:val="21"/>
                      <w:szCs w:val="21"/>
                    </w:rPr>
                  </w:pPr>
                  <w:r>
                    <w:rPr>
                      <w:sz w:val="21"/>
                      <w:szCs w:val="21"/>
                    </w:rPr>
                    <w:t>74.54</w:t>
                  </w:r>
                </w:p>
              </w:tc>
              <w:tc>
                <w:tcPr>
                  <w:tcW w:w="765" w:type="dxa"/>
                  <w:vAlign w:val="center"/>
                </w:tcPr>
                <w:p>
                  <w:pPr>
                    <w:jc w:val="center"/>
                    <w:rPr>
                      <w:sz w:val="21"/>
                      <w:szCs w:val="21"/>
                    </w:rPr>
                  </w:pPr>
                  <w:r>
                    <w:rPr>
                      <w:sz w:val="21"/>
                      <w:szCs w:val="21"/>
                    </w:rPr>
                    <w:t>23.31</w:t>
                  </w:r>
                </w:p>
              </w:tc>
              <w:tc>
                <w:tcPr>
                  <w:tcW w:w="810" w:type="dxa"/>
                  <w:vAlign w:val="center"/>
                </w:tcPr>
                <w:p>
                  <w:pPr>
                    <w:jc w:val="center"/>
                    <w:rPr>
                      <w:color w:val="000000"/>
                      <w:sz w:val="21"/>
                      <w:szCs w:val="21"/>
                    </w:rPr>
                  </w:pPr>
                  <w:r>
                    <w:rPr>
                      <w:color w:val="000000"/>
                      <w:sz w:val="21"/>
                      <w:szCs w:val="21"/>
                    </w:rPr>
                    <w:t>90</w:t>
                  </w:r>
                </w:p>
              </w:tc>
              <w:tc>
                <w:tcPr>
                  <w:tcW w:w="851" w:type="dxa"/>
                  <w:vAlign w:val="center"/>
                </w:tcPr>
                <w:p>
                  <w:pPr>
                    <w:jc w:val="center"/>
                    <w:rPr>
                      <w:color w:val="000000"/>
                      <w:sz w:val="21"/>
                      <w:szCs w:val="21"/>
                    </w:rPr>
                  </w:pPr>
                  <w:r>
                    <w:rPr>
                      <w:color w:val="000000"/>
                      <w:sz w:val="21"/>
                      <w:szCs w:val="21"/>
                    </w:rPr>
                    <w:t>10</w:t>
                  </w:r>
                </w:p>
              </w:tc>
              <w:tc>
                <w:tcPr>
                  <w:tcW w:w="866" w:type="dxa"/>
                  <w:vAlign w:val="center"/>
                </w:tcPr>
                <w:p>
                  <w:pPr>
                    <w:jc w:val="center"/>
                    <w:rPr>
                      <w:color w:val="000000"/>
                      <w:sz w:val="21"/>
                      <w:szCs w:val="21"/>
                    </w:rPr>
                  </w:pPr>
                  <w:r>
                    <w:rPr>
                      <w:color w:val="000000"/>
                      <w:sz w:val="21"/>
                      <w:szCs w:val="21"/>
                    </w:rPr>
                    <w:t>8760</w:t>
                  </w:r>
                </w:p>
              </w:tc>
              <w:tc>
                <w:tcPr>
                  <w:tcW w:w="584" w:type="dxa"/>
                  <w:vAlign w:val="center"/>
                </w:tcPr>
                <w:p>
                  <w:pPr>
                    <w:jc w:val="center"/>
                    <w:rPr>
                      <w:sz w:val="21"/>
                      <w:szCs w:val="21"/>
                    </w:rPr>
                  </w:pPr>
                  <w:r>
                    <w:rPr>
                      <w:sz w:val="21"/>
                      <w:szCs w:val="21"/>
                    </w:rPr>
                    <w:t>1.58</w:t>
                  </w:r>
                </w:p>
              </w:tc>
              <w:tc>
                <w:tcPr>
                  <w:tcW w:w="718" w:type="dxa"/>
                  <w:vAlign w:val="center"/>
                </w:tcPr>
                <w:p>
                  <w:pPr>
                    <w:jc w:val="center"/>
                    <w:rPr>
                      <w:sz w:val="21"/>
                      <w:szCs w:val="21"/>
                    </w:rPr>
                  </w:pPr>
                  <w:r>
                    <w:rPr>
                      <w:sz w:val="21"/>
                      <w:szCs w:val="21"/>
                    </w:rPr>
                    <w:t>0.005</w:t>
                  </w:r>
                </w:p>
              </w:tc>
            </w:tr>
          </w:tbl>
          <w:p>
            <w:pPr>
              <w:spacing w:beforeLines="50" w:line="360" w:lineRule="auto"/>
              <w:ind w:firstLine="480" w:firstLineChars="200"/>
              <w:rPr>
                <w:color w:val="000000"/>
              </w:rPr>
            </w:pPr>
            <w:r>
              <w:rPr>
                <w:color w:val="000000"/>
              </w:rPr>
              <w:t>⑥评价工作等级确定</w:t>
            </w:r>
          </w:p>
          <w:p>
            <w:pPr>
              <w:spacing w:line="360" w:lineRule="auto"/>
              <w:ind w:firstLine="480" w:firstLineChars="200"/>
              <w:rPr>
                <w:color w:val="000000"/>
              </w:rPr>
            </w:pPr>
            <w:r>
              <w:rPr>
                <w:color w:val="000000"/>
              </w:rPr>
              <w:t>本项目所有污染源的正常排放的污染物的P</w:t>
            </w:r>
            <w:r>
              <w:rPr>
                <w:color w:val="000000"/>
                <w:vertAlign w:val="subscript"/>
              </w:rPr>
              <w:t>max</w:t>
            </w:r>
            <w:r>
              <w:rPr>
                <w:color w:val="000000"/>
              </w:rPr>
              <w:t>和D</w:t>
            </w:r>
            <w:r>
              <w:rPr>
                <w:color w:val="000000"/>
                <w:vertAlign w:val="subscript"/>
              </w:rPr>
              <w:t>10%</w:t>
            </w:r>
            <w:r>
              <w:rPr>
                <w:color w:val="000000"/>
              </w:rPr>
              <w:t>预测结果如下：</w:t>
            </w:r>
          </w:p>
          <w:p>
            <w:pPr>
              <w:spacing w:line="360" w:lineRule="auto"/>
              <w:ind w:firstLine="266" w:firstLineChars="126"/>
              <w:jc w:val="center"/>
              <w:rPr>
                <w:b/>
                <w:bCs/>
                <w:color w:val="000000"/>
                <w:sz w:val="21"/>
                <w:szCs w:val="21"/>
              </w:rPr>
            </w:pPr>
            <w:r>
              <w:rPr>
                <w:b/>
                <w:bCs/>
                <w:color w:val="000000"/>
                <w:sz w:val="21"/>
                <w:szCs w:val="21"/>
              </w:rPr>
              <w:t>表7-</w:t>
            </w:r>
            <w:r>
              <w:rPr>
                <w:rFonts w:hint="eastAsia"/>
                <w:b/>
                <w:bCs/>
                <w:color w:val="000000"/>
                <w:sz w:val="21"/>
                <w:szCs w:val="21"/>
              </w:rPr>
              <w:t>6</w:t>
            </w:r>
            <w:r>
              <w:rPr>
                <w:b/>
                <w:bCs/>
                <w:color w:val="000000"/>
                <w:sz w:val="21"/>
                <w:szCs w:val="21"/>
              </w:rPr>
              <w:t xml:space="preserve">  </w:t>
            </w:r>
            <w:r>
              <w:rPr>
                <w:rFonts w:hint="eastAsia"/>
                <w:b/>
                <w:bCs/>
                <w:color w:val="000000"/>
                <w:kern w:val="24"/>
                <w:sz w:val="21"/>
                <w:szCs w:val="21"/>
              </w:rPr>
              <w:t>正常排放条件下各污染源</w:t>
            </w:r>
            <w:r>
              <w:rPr>
                <w:b/>
                <w:bCs/>
                <w:color w:val="000000"/>
                <w:sz w:val="21"/>
                <w:szCs w:val="21"/>
              </w:rPr>
              <w:t>Pmax和D10%预测和计算结果一览表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276"/>
              <w:gridCol w:w="1321"/>
              <w:gridCol w:w="1369"/>
              <w:gridCol w:w="1352"/>
              <w:gridCol w:w="1194"/>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jc w:val="center"/>
                    <w:rPr>
                      <w:b/>
                      <w:bCs/>
                      <w:color w:val="000000"/>
                      <w:sz w:val="21"/>
                      <w:szCs w:val="21"/>
                    </w:rPr>
                  </w:pPr>
                  <w:r>
                    <w:rPr>
                      <w:b/>
                      <w:bCs/>
                      <w:color w:val="000000"/>
                      <w:sz w:val="21"/>
                      <w:szCs w:val="21"/>
                    </w:rPr>
                    <w:t>污染源名称</w:t>
                  </w:r>
                </w:p>
              </w:tc>
              <w:tc>
                <w:tcPr>
                  <w:tcW w:w="1276" w:type="dxa"/>
                  <w:vAlign w:val="center"/>
                </w:tcPr>
                <w:p>
                  <w:pPr>
                    <w:jc w:val="center"/>
                    <w:rPr>
                      <w:b/>
                      <w:bCs/>
                      <w:color w:val="000000"/>
                      <w:sz w:val="21"/>
                      <w:szCs w:val="21"/>
                    </w:rPr>
                  </w:pPr>
                  <w:r>
                    <w:rPr>
                      <w:b/>
                      <w:bCs/>
                      <w:color w:val="000000"/>
                      <w:sz w:val="21"/>
                      <w:szCs w:val="21"/>
                    </w:rPr>
                    <w:t>评价因子</w:t>
                  </w:r>
                </w:p>
              </w:tc>
              <w:tc>
                <w:tcPr>
                  <w:tcW w:w="1321" w:type="dxa"/>
                  <w:vAlign w:val="center"/>
                </w:tcPr>
                <w:p>
                  <w:pPr>
                    <w:jc w:val="center"/>
                    <w:rPr>
                      <w:b/>
                      <w:bCs/>
                      <w:color w:val="000000"/>
                      <w:sz w:val="21"/>
                      <w:szCs w:val="21"/>
                    </w:rPr>
                  </w:pPr>
                  <w:r>
                    <w:rPr>
                      <w:b/>
                      <w:bCs/>
                      <w:color w:val="000000"/>
                      <w:sz w:val="21"/>
                      <w:szCs w:val="21"/>
                    </w:rPr>
                    <w:t>评价标准</w:t>
                  </w:r>
                </w:p>
                <w:p>
                  <w:pPr>
                    <w:jc w:val="center"/>
                    <w:rPr>
                      <w:b/>
                      <w:bCs/>
                      <w:color w:val="000000"/>
                      <w:sz w:val="21"/>
                      <w:szCs w:val="21"/>
                    </w:rPr>
                  </w:pPr>
                  <w:r>
                    <w:rPr>
                      <w:b/>
                      <w:bCs/>
                      <w:color w:val="000000"/>
                      <w:sz w:val="21"/>
                      <w:szCs w:val="21"/>
                    </w:rPr>
                    <w:t>(μg/m³)</w:t>
                  </w:r>
                </w:p>
              </w:tc>
              <w:tc>
                <w:tcPr>
                  <w:tcW w:w="1369" w:type="dxa"/>
                  <w:vAlign w:val="center"/>
                </w:tcPr>
                <w:p>
                  <w:pPr>
                    <w:jc w:val="center"/>
                    <w:rPr>
                      <w:b/>
                      <w:bCs/>
                      <w:color w:val="000000"/>
                      <w:sz w:val="21"/>
                      <w:szCs w:val="21"/>
                    </w:rPr>
                  </w:pPr>
                  <w:r>
                    <w:rPr>
                      <w:b/>
                      <w:bCs/>
                      <w:color w:val="000000"/>
                      <w:sz w:val="21"/>
                      <w:szCs w:val="21"/>
                    </w:rPr>
                    <w:t>排放标准(mg/m³)</w:t>
                  </w:r>
                </w:p>
              </w:tc>
              <w:tc>
                <w:tcPr>
                  <w:tcW w:w="1352" w:type="dxa"/>
                  <w:vAlign w:val="center"/>
                </w:tcPr>
                <w:p>
                  <w:pPr>
                    <w:jc w:val="center"/>
                    <w:rPr>
                      <w:b/>
                      <w:bCs/>
                      <w:color w:val="000000"/>
                      <w:sz w:val="21"/>
                      <w:szCs w:val="21"/>
                    </w:rPr>
                  </w:pPr>
                  <w:r>
                    <w:rPr>
                      <w:b/>
                      <w:bCs/>
                      <w:color w:val="000000"/>
                      <w:sz w:val="21"/>
                      <w:szCs w:val="21"/>
                    </w:rPr>
                    <w:t>Cmax</w:t>
                  </w:r>
                </w:p>
                <w:p>
                  <w:pPr>
                    <w:jc w:val="center"/>
                    <w:rPr>
                      <w:b/>
                      <w:bCs/>
                      <w:color w:val="000000"/>
                      <w:sz w:val="21"/>
                      <w:szCs w:val="21"/>
                    </w:rPr>
                  </w:pPr>
                  <w:r>
                    <w:rPr>
                      <w:b/>
                      <w:bCs/>
                      <w:color w:val="000000"/>
                      <w:sz w:val="21"/>
                      <w:szCs w:val="21"/>
                    </w:rPr>
                    <w:t>(μg/m³)</w:t>
                  </w:r>
                </w:p>
              </w:tc>
              <w:tc>
                <w:tcPr>
                  <w:tcW w:w="1194" w:type="dxa"/>
                  <w:vAlign w:val="center"/>
                </w:tcPr>
                <w:p>
                  <w:pPr>
                    <w:jc w:val="center"/>
                    <w:rPr>
                      <w:b/>
                      <w:bCs/>
                      <w:color w:val="000000"/>
                      <w:sz w:val="21"/>
                      <w:szCs w:val="21"/>
                    </w:rPr>
                  </w:pPr>
                  <w:r>
                    <w:rPr>
                      <w:b/>
                      <w:bCs/>
                      <w:color w:val="000000"/>
                      <w:sz w:val="21"/>
                      <w:szCs w:val="21"/>
                    </w:rPr>
                    <w:t>Pmax</w:t>
                  </w:r>
                </w:p>
                <w:p>
                  <w:pPr>
                    <w:jc w:val="center"/>
                    <w:rPr>
                      <w:b/>
                      <w:bCs/>
                      <w:color w:val="000000"/>
                      <w:sz w:val="21"/>
                      <w:szCs w:val="21"/>
                    </w:rPr>
                  </w:pPr>
                  <w:r>
                    <w:rPr>
                      <w:b/>
                      <w:bCs/>
                      <w:color w:val="000000"/>
                      <w:sz w:val="21"/>
                      <w:szCs w:val="21"/>
                    </w:rPr>
                    <w:t>(%)</w:t>
                  </w:r>
                </w:p>
              </w:tc>
              <w:tc>
                <w:tcPr>
                  <w:tcW w:w="1090" w:type="dxa"/>
                  <w:vAlign w:val="center"/>
                </w:tcPr>
                <w:p>
                  <w:pPr>
                    <w:jc w:val="center"/>
                    <w:rPr>
                      <w:b/>
                      <w:bCs/>
                      <w:color w:val="000000"/>
                      <w:sz w:val="21"/>
                      <w:szCs w:val="21"/>
                    </w:rPr>
                  </w:pPr>
                  <w:r>
                    <w:rPr>
                      <w:b/>
                      <w:bCs/>
                      <w:color w:val="000000"/>
                      <w:sz w:val="21"/>
                      <w:szCs w:val="21"/>
                    </w:rPr>
                    <w:t>D10%</w:t>
                  </w:r>
                </w:p>
                <w:p>
                  <w:pPr>
                    <w:jc w:val="center"/>
                    <w:rPr>
                      <w:b/>
                      <w:bCs/>
                      <w:color w:val="000000"/>
                      <w:sz w:val="21"/>
                      <w:szCs w:val="21"/>
                    </w:rPr>
                  </w:pPr>
                  <w:r>
                    <w:rPr>
                      <w:b/>
                      <w:bCs/>
                      <w:color w:val="00000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jc w:val="center"/>
                    <w:rPr>
                      <w:color w:val="000000"/>
                      <w:sz w:val="21"/>
                      <w:szCs w:val="21"/>
                    </w:rPr>
                  </w:pPr>
                  <w:r>
                    <w:rPr>
                      <w:color w:val="000000"/>
                      <w:sz w:val="21"/>
                      <w:szCs w:val="21"/>
                    </w:rPr>
                    <w:t>邓川污水厂</w:t>
                  </w:r>
                </w:p>
              </w:tc>
              <w:tc>
                <w:tcPr>
                  <w:tcW w:w="1276" w:type="dxa"/>
                  <w:vAlign w:val="center"/>
                </w:tcPr>
                <w:p>
                  <w:pPr>
                    <w:jc w:val="center"/>
                    <w:rPr>
                      <w:color w:val="000000"/>
                      <w:sz w:val="21"/>
                      <w:szCs w:val="21"/>
                    </w:rPr>
                  </w:pPr>
                  <w:r>
                    <w:rPr>
                      <w:color w:val="000000"/>
                      <w:sz w:val="21"/>
                      <w:szCs w:val="21"/>
                    </w:rPr>
                    <w:t>氨</w:t>
                  </w:r>
                </w:p>
              </w:tc>
              <w:tc>
                <w:tcPr>
                  <w:tcW w:w="1321" w:type="dxa"/>
                  <w:vAlign w:val="center"/>
                </w:tcPr>
                <w:p>
                  <w:pPr>
                    <w:ind w:firstLine="420" w:firstLineChars="200"/>
                    <w:jc w:val="center"/>
                    <w:rPr>
                      <w:color w:val="000000"/>
                      <w:sz w:val="21"/>
                      <w:szCs w:val="21"/>
                    </w:rPr>
                  </w:pPr>
                  <w:r>
                    <w:rPr>
                      <w:color w:val="000000"/>
                      <w:sz w:val="21"/>
                      <w:szCs w:val="21"/>
                    </w:rPr>
                    <w:t>200</w:t>
                  </w:r>
                </w:p>
              </w:tc>
              <w:tc>
                <w:tcPr>
                  <w:tcW w:w="1369" w:type="dxa"/>
                  <w:vAlign w:val="center"/>
                </w:tcPr>
                <w:p>
                  <w:pPr>
                    <w:ind w:firstLine="420" w:firstLineChars="200"/>
                    <w:jc w:val="center"/>
                    <w:rPr>
                      <w:color w:val="000000"/>
                      <w:sz w:val="21"/>
                      <w:szCs w:val="21"/>
                    </w:rPr>
                  </w:pPr>
                  <w:r>
                    <w:rPr>
                      <w:color w:val="000000"/>
                      <w:sz w:val="21"/>
                      <w:szCs w:val="21"/>
                    </w:rPr>
                    <w:t>1.5</w:t>
                  </w:r>
                </w:p>
              </w:tc>
              <w:tc>
                <w:tcPr>
                  <w:tcW w:w="1352" w:type="dxa"/>
                  <w:vAlign w:val="center"/>
                </w:tcPr>
                <w:p>
                  <w:pPr>
                    <w:jc w:val="center"/>
                    <w:rPr>
                      <w:color w:val="000000"/>
                      <w:sz w:val="21"/>
                      <w:szCs w:val="21"/>
                    </w:rPr>
                  </w:pPr>
                  <w:r>
                    <w:rPr>
                      <w:color w:val="000000"/>
                      <w:sz w:val="21"/>
                      <w:szCs w:val="21"/>
                    </w:rPr>
                    <w:t>1.7899</w:t>
                  </w:r>
                </w:p>
              </w:tc>
              <w:tc>
                <w:tcPr>
                  <w:tcW w:w="1194" w:type="dxa"/>
                  <w:vAlign w:val="center"/>
                </w:tcPr>
                <w:p>
                  <w:pPr>
                    <w:jc w:val="center"/>
                    <w:rPr>
                      <w:sz w:val="21"/>
                      <w:szCs w:val="21"/>
                    </w:rPr>
                  </w:pPr>
                  <w:r>
                    <w:rPr>
                      <w:sz w:val="21"/>
                      <w:szCs w:val="21"/>
                    </w:rPr>
                    <w:t>0.8950</w:t>
                  </w:r>
                </w:p>
              </w:tc>
              <w:tc>
                <w:tcPr>
                  <w:tcW w:w="1090" w:type="dxa"/>
                  <w:vAlign w:val="center"/>
                </w:tcPr>
                <w:p>
                  <w:pPr>
                    <w:jc w:val="center"/>
                    <w:rPr>
                      <w:color w:val="000000"/>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vAlign w:val="center"/>
                </w:tcPr>
                <w:p>
                  <w:pPr>
                    <w:jc w:val="center"/>
                    <w:rPr>
                      <w:color w:val="000000"/>
                      <w:sz w:val="21"/>
                      <w:szCs w:val="21"/>
                    </w:rPr>
                  </w:pPr>
                </w:p>
              </w:tc>
              <w:tc>
                <w:tcPr>
                  <w:tcW w:w="1276" w:type="dxa"/>
                  <w:vAlign w:val="center"/>
                </w:tcPr>
                <w:p>
                  <w:pPr>
                    <w:jc w:val="center"/>
                    <w:rPr>
                      <w:color w:val="000000"/>
                      <w:sz w:val="21"/>
                      <w:szCs w:val="21"/>
                    </w:rPr>
                  </w:pPr>
                  <w:r>
                    <w:rPr>
                      <w:color w:val="000000"/>
                      <w:sz w:val="21"/>
                      <w:szCs w:val="21"/>
                    </w:rPr>
                    <w:t>硫化氢</w:t>
                  </w:r>
                </w:p>
              </w:tc>
              <w:tc>
                <w:tcPr>
                  <w:tcW w:w="1321" w:type="dxa"/>
                  <w:vAlign w:val="center"/>
                </w:tcPr>
                <w:p>
                  <w:pPr>
                    <w:ind w:firstLine="420" w:firstLineChars="200"/>
                    <w:jc w:val="center"/>
                    <w:rPr>
                      <w:color w:val="000000"/>
                      <w:sz w:val="21"/>
                      <w:szCs w:val="21"/>
                    </w:rPr>
                  </w:pPr>
                  <w:r>
                    <w:rPr>
                      <w:color w:val="000000"/>
                      <w:sz w:val="21"/>
                      <w:szCs w:val="21"/>
                    </w:rPr>
                    <w:t>10</w:t>
                  </w:r>
                </w:p>
              </w:tc>
              <w:tc>
                <w:tcPr>
                  <w:tcW w:w="1369" w:type="dxa"/>
                  <w:vAlign w:val="center"/>
                </w:tcPr>
                <w:p>
                  <w:pPr>
                    <w:ind w:firstLine="420" w:firstLineChars="200"/>
                    <w:jc w:val="center"/>
                    <w:rPr>
                      <w:color w:val="000000"/>
                      <w:sz w:val="21"/>
                      <w:szCs w:val="21"/>
                    </w:rPr>
                  </w:pPr>
                  <w:r>
                    <w:rPr>
                      <w:color w:val="000000"/>
                      <w:sz w:val="21"/>
                      <w:szCs w:val="21"/>
                    </w:rPr>
                    <w:t>0.06</w:t>
                  </w:r>
                </w:p>
              </w:tc>
              <w:tc>
                <w:tcPr>
                  <w:tcW w:w="1352" w:type="dxa"/>
                  <w:vAlign w:val="center"/>
                </w:tcPr>
                <w:p>
                  <w:pPr>
                    <w:jc w:val="center"/>
                    <w:rPr>
                      <w:color w:val="000000"/>
                      <w:sz w:val="21"/>
                      <w:szCs w:val="21"/>
                    </w:rPr>
                  </w:pPr>
                  <w:r>
                    <w:rPr>
                      <w:color w:val="000000"/>
                      <w:sz w:val="21"/>
                      <w:szCs w:val="21"/>
                    </w:rPr>
                    <w:t>0.0057</w:t>
                  </w:r>
                </w:p>
              </w:tc>
              <w:tc>
                <w:tcPr>
                  <w:tcW w:w="1194" w:type="dxa"/>
                  <w:vAlign w:val="center"/>
                </w:tcPr>
                <w:p>
                  <w:pPr>
                    <w:jc w:val="center"/>
                    <w:rPr>
                      <w:sz w:val="21"/>
                      <w:szCs w:val="21"/>
                    </w:rPr>
                  </w:pPr>
                  <w:r>
                    <w:rPr>
                      <w:sz w:val="21"/>
                      <w:szCs w:val="21"/>
                    </w:rPr>
                    <w:t>0.0568</w:t>
                  </w:r>
                </w:p>
              </w:tc>
              <w:tc>
                <w:tcPr>
                  <w:tcW w:w="1090" w:type="dxa"/>
                  <w:vAlign w:val="center"/>
                </w:tcPr>
                <w:p>
                  <w:pPr>
                    <w:jc w:val="center"/>
                    <w:rPr>
                      <w:color w:val="000000"/>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jc w:val="center"/>
                    <w:rPr>
                      <w:color w:val="000000"/>
                      <w:sz w:val="21"/>
                      <w:szCs w:val="21"/>
                    </w:rPr>
                  </w:pPr>
                  <w:r>
                    <w:rPr>
                      <w:color w:val="000000"/>
                      <w:sz w:val="21"/>
                      <w:szCs w:val="21"/>
                    </w:rPr>
                    <w:t>右所污水厂</w:t>
                  </w:r>
                </w:p>
              </w:tc>
              <w:tc>
                <w:tcPr>
                  <w:tcW w:w="1276" w:type="dxa"/>
                  <w:vAlign w:val="center"/>
                </w:tcPr>
                <w:p>
                  <w:pPr>
                    <w:jc w:val="center"/>
                    <w:rPr>
                      <w:color w:val="000000"/>
                      <w:sz w:val="21"/>
                      <w:szCs w:val="21"/>
                    </w:rPr>
                  </w:pPr>
                  <w:r>
                    <w:rPr>
                      <w:color w:val="000000"/>
                      <w:sz w:val="21"/>
                      <w:szCs w:val="21"/>
                    </w:rPr>
                    <w:t>氨</w:t>
                  </w:r>
                </w:p>
              </w:tc>
              <w:tc>
                <w:tcPr>
                  <w:tcW w:w="1321" w:type="dxa"/>
                  <w:vAlign w:val="center"/>
                </w:tcPr>
                <w:p>
                  <w:pPr>
                    <w:ind w:firstLine="420" w:firstLineChars="200"/>
                    <w:jc w:val="center"/>
                    <w:rPr>
                      <w:color w:val="000000"/>
                      <w:sz w:val="21"/>
                      <w:szCs w:val="21"/>
                    </w:rPr>
                  </w:pPr>
                  <w:r>
                    <w:rPr>
                      <w:color w:val="000000"/>
                      <w:sz w:val="21"/>
                      <w:szCs w:val="21"/>
                    </w:rPr>
                    <w:t>200</w:t>
                  </w:r>
                </w:p>
              </w:tc>
              <w:tc>
                <w:tcPr>
                  <w:tcW w:w="1369" w:type="dxa"/>
                  <w:vAlign w:val="center"/>
                </w:tcPr>
                <w:p>
                  <w:pPr>
                    <w:ind w:firstLine="420" w:firstLineChars="200"/>
                    <w:jc w:val="center"/>
                    <w:rPr>
                      <w:color w:val="000000"/>
                      <w:sz w:val="21"/>
                      <w:szCs w:val="21"/>
                    </w:rPr>
                  </w:pPr>
                  <w:r>
                    <w:rPr>
                      <w:color w:val="000000"/>
                      <w:sz w:val="21"/>
                      <w:szCs w:val="21"/>
                    </w:rPr>
                    <w:t>1.5</w:t>
                  </w:r>
                </w:p>
              </w:tc>
              <w:tc>
                <w:tcPr>
                  <w:tcW w:w="1352" w:type="dxa"/>
                  <w:vAlign w:val="center"/>
                </w:tcPr>
                <w:p>
                  <w:pPr>
                    <w:jc w:val="center"/>
                    <w:rPr>
                      <w:sz w:val="21"/>
                      <w:szCs w:val="21"/>
                    </w:rPr>
                  </w:pPr>
                  <w:r>
                    <w:rPr>
                      <w:sz w:val="21"/>
                      <w:szCs w:val="21"/>
                    </w:rPr>
                    <w:t>0.9621</w:t>
                  </w:r>
                </w:p>
              </w:tc>
              <w:tc>
                <w:tcPr>
                  <w:tcW w:w="1194" w:type="dxa"/>
                  <w:vAlign w:val="center"/>
                </w:tcPr>
                <w:p>
                  <w:pPr>
                    <w:jc w:val="center"/>
                    <w:rPr>
                      <w:sz w:val="21"/>
                      <w:szCs w:val="21"/>
                    </w:rPr>
                  </w:pPr>
                  <w:r>
                    <w:rPr>
                      <w:sz w:val="21"/>
                      <w:szCs w:val="21"/>
                    </w:rPr>
                    <w:t>0.4810</w:t>
                  </w:r>
                </w:p>
              </w:tc>
              <w:tc>
                <w:tcPr>
                  <w:tcW w:w="1090" w:type="dxa"/>
                  <w:vAlign w:val="center"/>
                </w:tcPr>
                <w:p>
                  <w:pPr>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vAlign w:val="center"/>
                </w:tcPr>
                <w:p>
                  <w:pPr>
                    <w:jc w:val="center"/>
                    <w:rPr>
                      <w:color w:val="000000"/>
                      <w:sz w:val="21"/>
                      <w:szCs w:val="21"/>
                    </w:rPr>
                  </w:pPr>
                </w:p>
              </w:tc>
              <w:tc>
                <w:tcPr>
                  <w:tcW w:w="1276" w:type="dxa"/>
                  <w:vAlign w:val="center"/>
                </w:tcPr>
                <w:p>
                  <w:pPr>
                    <w:jc w:val="center"/>
                    <w:rPr>
                      <w:color w:val="000000"/>
                      <w:sz w:val="21"/>
                      <w:szCs w:val="21"/>
                    </w:rPr>
                  </w:pPr>
                  <w:r>
                    <w:rPr>
                      <w:color w:val="000000"/>
                      <w:sz w:val="21"/>
                      <w:szCs w:val="21"/>
                    </w:rPr>
                    <w:t>硫化氢</w:t>
                  </w:r>
                </w:p>
              </w:tc>
              <w:tc>
                <w:tcPr>
                  <w:tcW w:w="1321" w:type="dxa"/>
                  <w:vAlign w:val="center"/>
                </w:tcPr>
                <w:p>
                  <w:pPr>
                    <w:ind w:firstLine="420" w:firstLineChars="200"/>
                    <w:jc w:val="center"/>
                    <w:rPr>
                      <w:color w:val="000000"/>
                      <w:sz w:val="21"/>
                      <w:szCs w:val="21"/>
                    </w:rPr>
                  </w:pPr>
                  <w:r>
                    <w:rPr>
                      <w:color w:val="000000"/>
                      <w:sz w:val="21"/>
                      <w:szCs w:val="21"/>
                    </w:rPr>
                    <w:t>10</w:t>
                  </w:r>
                </w:p>
              </w:tc>
              <w:tc>
                <w:tcPr>
                  <w:tcW w:w="1369" w:type="dxa"/>
                  <w:vAlign w:val="center"/>
                </w:tcPr>
                <w:p>
                  <w:pPr>
                    <w:ind w:firstLine="420" w:firstLineChars="200"/>
                    <w:jc w:val="center"/>
                    <w:rPr>
                      <w:color w:val="000000"/>
                      <w:sz w:val="21"/>
                      <w:szCs w:val="21"/>
                    </w:rPr>
                  </w:pPr>
                  <w:r>
                    <w:rPr>
                      <w:color w:val="000000"/>
                      <w:sz w:val="21"/>
                      <w:szCs w:val="21"/>
                    </w:rPr>
                    <w:t>0.06</w:t>
                  </w:r>
                </w:p>
              </w:tc>
              <w:tc>
                <w:tcPr>
                  <w:tcW w:w="1352" w:type="dxa"/>
                  <w:vAlign w:val="center"/>
                </w:tcPr>
                <w:p>
                  <w:pPr>
                    <w:ind w:firstLine="420"/>
                    <w:jc w:val="center"/>
                    <w:rPr>
                      <w:color w:val="000000"/>
                      <w:sz w:val="21"/>
                      <w:szCs w:val="21"/>
                    </w:rPr>
                  </w:pPr>
                  <w:r>
                    <w:rPr>
                      <w:color w:val="000000"/>
                      <w:sz w:val="21"/>
                      <w:szCs w:val="21"/>
                    </w:rPr>
                    <w:t>0.0030</w:t>
                  </w:r>
                </w:p>
              </w:tc>
              <w:tc>
                <w:tcPr>
                  <w:tcW w:w="1194" w:type="dxa"/>
                  <w:vAlign w:val="center"/>
                </w:tcPr>
                <w:p>
                  <w:pPr>
                    <w:jc w:val="center"/>
                    <w:rPr>
                      <w:color w:val="000000"/>
                      <w:sz w:val="21"/>
                      <w:szCs w:val="21"/>
                    </w:rPr>
                  </w:pPr>
                  <w:r>
                    <w:rPr>
                      <w:color w:val="000000"/>
                      <w:sz w:val="21"/>
                      <w:szCs w:val="21"/>
                    </w:rPr>
                    <w:t>0.0304</w:t>
                  </w:r>
                </w:p>
              </w:tc>
              <w:tc>
                <w:tcPr>
                  <w:tcW w:w="1090" w:type="dxa"/>
                  <w:vAlign w:val="center"/>
                </w:tcPr>
                <w:p>
                  <w:pPr>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jc w:val="center"/>
                    <w:rPr>
                      <w:color w:val="000000"/>
                      <w:sz w:val="21"/>
                      <w:szCs w:val="21"/>
                    </w:rPr>
                  </w:pPr>
                  <w:r>
                    <w:rPr>
                      <w:color w:val="000000"/>
                      <w:sz w:val="21"/>
                      <w:szCs w:val="21"/>
                    </w:rPr>
                    <w:t>牛街污水厂</w:t>
                  </w:r>
                </w:p>
              </w:tc>
              <w:tc>
                <w:tcPr>
                  <w:tcW w:w="1276" w:type="dxa"/>
                  <w:vAlign w:val="center"/>
                </w:tcPr>
                <w:p>
                  <w:pPr>
                    <w:jc w:val="center"/>
                    <w:rPr>
                      <w:color w:val="000000"/>
                      <w:sz w:val="21"/>
                      <w:szCs w:val="21"/>
                    </w:rPr>
                  </w:pPr>
                  <w:r>
                    <w:rPr>
                      <w:color w:val="000000"/>
                      <w:sz w:val="21"/>
                      <w:szCs w:val="21"/>
                    </w:rPr>
                    <w:t>氨</w:t>
                  </w:r>
                </w:p>
              </w:tc>
              <w:tc>
                <w:tcPr>
                  <w:tcW w:w="1321" w:type="dxa"/>
                  <w:vAlign w:val="center"/>
                </w:tcPr>
                <w:p>
                  <w:pPr>
                    <w:ind w:firstLine="420" w:firstLineChars="200"/>
                    <w:jc w:val="center"/>
                    <w:rPr>
                      <w:color w:val="000000"/>
                      <w:sz w:val="21"/>
                      <w:szCs w:val="21"/>
                    </w:rPr>
                  </w:pPr>
                  <w:r>
                    <w:rPr>
                      <w:color w:val="000000"/>
                      <w:sz w:val="21"/>
                      <w:szCs w:val="21"/>
                    </w:rPr>
                    <w:t>200</w:t>
                  </w:r>
                </w:p>
              </w:tc>
              <w:tc>
                <w:tcPr>
                  <w:tcW w:w="1369" w:type="dxa"/>
                  <w:vAlign w:val="center"/>
                </w:tcPr>
                <w:p>
                  <w:pPr>
                    <w:ind w:firstLine="420" w:firstLineChars="200"/>
                    <w:jc w:val="center"/>
                    <w:rPr>
                      <w:color w:val="000000"/>
                      <w:sz w:val="21"/>
                      <w:szCs w:val="21"/>
                    </w:rPr>
                  </w:pPr>
                  <w:r>
                    <w:rPr>
                      <w:color w:val="000000"/>
                      <w:sz w:val="21"/>
                      <w:szCs w:val="21"/>
                    </w:rPr>
                    <w:t>1.5</w:t>
                  </w:r>
                </w:p>
              </w:tc>
              <w:tc>
                <w:tcPr>
                  <w:tcW w:w="1352" w:type="dxa"/>
                  <w:vAlign w:val="center"/>
                </w:tcPr>
                <w:p>
                  <w:pPr>
                    <w:jc w:val="center"/>
                    <w:rPr>
                      <w:sz w:val="21"/>
                      <w:szCs w:val="21"/>
                    </w:rPr>
                  </w:pPr>
                  <w:r>
                    <w:rPr>
                      <w:sz w:val="21"/>
                      <w:szCs w:val="21"/>
                    </w:rPr>
                    <w:t>1.2182</w:t>
                  </w:r>
                </w:p>
              </w:tc>
              <w:tc>
                <w:tcPr>
                  <w:tcW w:w="1194" w:type="dxa"/>
                  <w:vAlign w:val="center"/>
                </w:tcPr>
                <w:p>
                  <w:pPr>
                    <w:jc w:val="center"/>
                    <w:rPr>
                      <w:sz w:val="21"/>
                      <w:szCs w:val="21"/>
                    </w:rPr>
                  </w:pPr>
                  <w:r>
                    <w:rPr>
                      <w:sz w:val="21"/>
                      <w:szCs w:val="21"/>
                    </w:rPr>
                    <w:t>0.6091</w:t>
                  </w:r>
                </w:p>
              </w:tc>
              <w:tc>
                <w:tcPr>
                  <w:tcW w:w="1090" w:type="dxa"/>
                  <w:vAlign w:val="center"/>
                </w:tcPr>
                <w:p>
                  <w:pPr>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vAlign w:val="center"/>
                </w:tcPr>
                <w:p>
                  <w:pPr>
                    <w:jc w:val="center"/>
                    <w:rPr>
                      <w:color w:val="000000"/>
                      <w:sz w:val="21"/>
                      <w:szCs w:val="21"/>
                    </w:rPr>
                  </w:pPr>
                </w:p>
              </w:tc>
              <w:tc>
                <w:tcPr>
                  <w:tcW w:w="1276" w:type="dxa"/>
                  <w:vAlign w:val="center"/>
                </w:tcPr>
                <w:p>
                  <w:pPr>
                    <w:jc w:val="center"/>
                    <w:rPr>
                      <w:color w:val="000000"/>
                      <w:sz w:val="21"/>
                      <w:szCs w:val="21"/>
                    </w:rPr>
                  </w:pPr>
                  <w:r>
                    <w:rPr>
                      <w:color w:val="000000"/>
                      <w:sz w:val="21"/>
                      <w:szCs w:val="21"/>
                    </w:rPr>
                    <w:t>硫化氢</w:t>
                  </w:r>
                </w:p>
              </w:tc>
              <w:tc>
                <w:tcPr>
                  <w:tcW w:w="1321" w:type="dxa"/>
                  <w:vAlign w:val="center"/>
                </w:tcPr>
                <w:p>
                  <w:pPr>
                    <w:ind w:firstLine="420" w:firstLineChars="200"/>
                    <w:jc w:val="center"/>
                    <w:rPr>
                      <w:color w:val="000000"/>
                      <w:sz w:val="21"/>
                      <w:szCs w:val="21"/>
                    </w:rPr>
                  </w:pPr>
                  <w:r>
                    <w:rPr>
                      <w:color w:val="000000"/>
                      <w:sz w:val="21"/>
                      <w:szCs w:val="21"/>
                    </w:rPr>
                    <w:t>10</w:t>
                  </w:r>
                </w:p>
              </w:tc>
              <w:tc>
                <w:tcPr>
                  <w:tcW w:w="1369" w:type="dxa"/>
                  <w:vAlign w:val="center"/>
                </w:tcPr>
                <w:p>
                  <w:pPr>
                    <w:ind w:firstLine="420" w:firstLineChars="200"/>
                    <w:jc w:val="center"/>
                    <w:rPr>
                      <w:color w:val="000000"/>
                      <w:sz w:val="21"/>
                      <w:szCs w:val="21"/>
                    </w:rPr>
                  </w:pPr>
                  <w:r>
                    <w:rPr>
                      <w:color w:val="000000"/>
                      <w:sz w:val="21"/>
                      <w:szCs w:val="21"/>
                    </w:rPr>
                    <w:t>0.06</w:t>
                  </w:r>
                </w:p>
              </w:tc>
              <w:tc>
                <w:tcPr>
                  <w:tcW w:w="1352" w:type="dxa"/>
                  <w:vAlign w:val="center"/>
                </w:tcPr>
                <w:p>
                  <w:pPr>
                    <w:jc w:val="center"/>
                    <w:rPr>
                      <w:sz w:val="21"/>
                      <w:szCs w:val="21"/>
                    </w:rPr>
                  </w:pPr>
                  <w:r>
                    <w:rPr>
                      <w:sz w:val="21"/>
                      <w:szCs w:val="21"/>
                    </w:rPr>
                    <w:t>0.0039</w:t>
                  </w:r>
                </w:p>
              </w:tc>
              <w:tc>
                <w:tcPr>
                  <w:tcW w:w="1194" w:type="dxa"/>
                  <w:vAlign w:val="center"/>
                </w:tcPr>
                <w:p>
                  <w:pPr>
                    <w:jc w:val="center"/>
                    <w:rPr>
                      <w:sz w:val="21"/>
                      <w:szCs w:val="21"/>
                    </w:rPr>
                  </w:pPr>
                  <w:r>
                    <w:rPr>
                      <w:sz w:val="21"/>
                      <w:szCs w:val="21"/>
                    </w:rPr>
                    <w:t>0.0386</w:t>
                  </w:r>
                </w:p>
              </w:tc>
              <w:tc>
                <w:tcPr>
                  <w:tcW w:w="1090" w:type="dxa"/>
                  <w:vAlign w:val="center"/>
                </w:tcPr>
                <w:p>
                  <w:pPr>
                    <w:jc w:val="center"/>
                    <w:rPr>
                      <w:color w:val="000000"/>
                      <w:sz w:val="21"/>
                      <w:szCs w:val="21"/>
                    </w:rPr>
                  </w:pPr>
                  <w:r>
                    <w:rPr>
                      <w:rFonts w:hint="eastAsia"/>
                      <w:color w:val="000000"/>
                      <w:sz w:val="21"/>
                      <w:szCs w:val="21"/>
                    </w:rPr>
                    <w:t>/</w:t>
                  </w:r>
                </w:p>
              </w:tc>
            </w:tr>
          </w:tbl>
          <w:p>
            <w:pPr>
              <w:spacing w:beforeLines="50" w:line="360" w:lineRule="auto"/>
              <w:ind w:firstLine="480" w:firstLineChars="200"/>
              <w:rPr>
                <w:color w:val="000000"/>
              </w:rPr>
            </w:pPr>
            <w:r>
              <w:rPr>
                <w:color w:val="000000"/>
              </w:rPr>
              <w:t>本项目</w:t>
            </w:r>
            <w:r>
              <w:rPr>
                <w:rFonts w:hint="eastAsia"/>
                <w:color w:val="000000"/>
              </w:rPr>
              <w:t>邓川污水处理厂</w:t>
            </w:r>
            <w:r>
              <w:rPr>
                <w:color w:val="000000"/>
              </w:rPr>
              <w:t>P</w:t>
            </w:r>
            <w:r>
              <w:rPr>
                <w:color w:val="000000"/>
                <w:vertAlign w:val="subscript"/>
              </w:rPr>
              <w:t>max</w:t>
            </w:r>
            <w:r>
              <w:rPr>
                <w:color w:val="000000"/>
              </w:rPr>
              <w:t>最大值出现为矩形面源排放的</w:t>
            </w:r>
            <w:r>
              <w:rPr>
                <w:rFonts w:hint="eastAsia"/>
                <w:color w:val="000000"/>
              </w:rPr>
              <w:t>氨</w:t>
            </w:r>
            <w:r>
              <w:rPr>
                <w:color w:val="000000"/>
              </w:rPr>
              <w:t>，P</w:t>
            </w:r>
            <w:r>
              <w:rPr>
                <w:color w:val="000000"/>
                <w:vertAlign w:val="subscript"/>
              </w:rPr>
              <w:t>max</w:t>
            </w:r>
            <w:r>
              <w:rPr>
                <w:color w:val="000000"/>
              </w:rPr>
              <w:t>值为</w:t>
            </w:r>
            <w:r>
              <w:rPr>
                <w:rFonts w:hint="eastAsia"/>
                <w:color w:val="000000"/>
              </w:rPr>
              <w:t>0.895</w:t>
            </w:r>
            <w:r>
              <w:rPr>
                <w:color w:val="000000"/>
              </w:rPr>
              <w:t>%，C</w:t>
            </w:r>
            <w:r>
              <w:rPr>
                <w:color w:val="000000"/>
                <w:vertAlign w:val="subscript"/>
              </w:rPr>
              <w:t>max</w:t>
            </w:r>
            <w:r>
              <w:rPr>
                <w:color w:val="000000"/>
              </w:rPr>
              <w:t>为</w:t>
            </w:r>
            <w:r>
              <w:rPr>
                <w:rFonts w:hint="eastAsia"/>
                <w:color w:val="000000"/>
              </w:rPr>
              <w:t>1.7899</w:t>
            </w:r>
            <w:r>
              <w:rPr>
                <w:color w:val="000000"/>
              </w:rPr>
              <w:t>ug/m</w:t>
            </w:r>
            <w:r>
              <w:rPr>
                <w:color w:val="000000"/>
                <w:vertAlign w:val="superscript"/>
              </w:rPr>
              <w:t>3</w:t>
            </w:r>
            <w:r>
              <w:rPr>
                <w:rFonts w:hint="eastAsia"/>
                <w:color w:val="000000"/>
              </w:rPr>
              <w:t>；右所污水处理厂</w:t>
            </w:r>
            <w:r>
              <w:rPr>
                <w:color w:val="000000"/>
              </w:rPr>
              <w:t>P</w:t>
            </w:r>
            <w:r>
              <w:rPr>
                <w:color w:val="000000"/>
                <w:vertAlign w:val="subscript"/>
              </w:rPr>
              <w:t>max</w:t>
            </w:r>
            <w:r>
              <w:rPr>
                <w:color w:val="000000"/>
              </w:rPr>
              <w:t>最大值出现为矩形面源排放的</w:t>
            </w:r>
            <w:r>
              <w:rPr>
                <w:rFonts w:hint="eastAsia"/>
                <w:color w:val="000000"/>
              </w:rPr>
              <w:t>氨</w:t>
            </w:r>
            <w:r>
              <w:rPr>
                <w:color w:val="000000"/>
              </w:rPr>
              <w:t>，P</w:t>
            </w:r>
            <w:r>
              <w:rPr>
                <w:color w:val="000000"/>
                <w:vertAlign w:val="subscript"/>
              </w:rPr>
              <w:t>max</w:t>
            </w:r>
            <w:r>
              <w:rPr>
                <w:color w:val="000000"/>
              </w:rPr>
              <w:t>值为</w:t>
            </w:r>
            <w:r>
              <w:rPr>
                <w:rFonts w:hint="eastAsia"/>
                <w:color w:val="000000"/>
              </w:rPr>
              <w:t>0.481</w:t>
            </w:r>
            <w:r>
              <w:rPr>
                <w:color w:val="000000"/>
              </w:rPr>
              <w:t>%，C</w:t>
            </w:r>
            <w:r>
              <w:rPr>
                <w:color w:val="000000"/>
                <w:vertAlign w:val="subscript"/>
              </w:rPr>
              <w:t>max</w:t>
            </w:r>
            <w:r>
              <w:rPr>
                <w:color w:val="000000"/>
              </w:rPr>
              <w:t>为</w:t>
            </w:r>
            <w:r>
              <w:rPr>
                <w:rFonts w:hint="eastAsia"/>
                <w:color w:val="000000"/>
              </w:rPr>
              <w:t>0.9621</w:t>
            </w:r>
            <w:r>
              <w:rPr>
                <w:color w:val="000000"/>
              </w:rPr>
              <w:t>ug/m</w:t>
            </w:r>
            <w:r>
              <w:rPr>
                <w:color w:val="000000"/>
                <w:vertAlign w:val="superscript"/>
              </w:rPr>
              <w:t>3</w:t>
            </w:r>
            <w:r>
              <w:rPr>
                <w:rFonts w:hint="eastAsia"/>
                <w:color w:val="000000"/>
              </w:rPr>
              <w:t>；牛街污水处理厂</w:t>
            </w:r>
            <w:r>
              <w:rPr>
                <w:color w:val="000000"/>
              </w:rPr>
              <w:t>P</w:t>
            </w:r>
            <w:r>
              <w:rPr>
                <w:color w:val="000000"/>
                <w:vertAlign w:val="subscript"/>
              </w:rPr>
              <w:t>max</w:t>
            </w:r>
            <w:r>
              <w:rPr>
                <w:color w:val="000000"/>
              </w:rPr>
              <w:t>最大值出现为矩形面源排放的</w:t>
            </w:r>
            <w:r>
              <w:rPr>
                <w:rFonts w:hint="eastAsia"/>
                <w:color w:val="000000"/>
              </w:rPr>
              <w:t>氨</w:t>
            </w:r>
            <w:r>
              <w:rPr>
                <w:color w:val="000000"/>
              </w:rPr>
              <w:t>，P</w:t>
            </w:r>
            <w:r>
              <w:rPr>
                <w:color w:val="000000"/>
                <w:vertAlign w:val="subscript"/>
              </w:rPr>
              <w:t>max</w:t>
            </w:r>
            <w:r>
              <w:rPr>
                <w:color w:val="000000"/>
              </w:rPr>
              <w:t>值为</w:t>
            </w:r>
            <w:r>
              <w:rPr>
                <w:rFonts w:hint="eastAsia"/>
                <w:color w:val="000000"/>
              </w:rPr>
              <w:t>0.6091</w:t>
            </w:r>
            <w:r>
              <w:rPr>
                <w:color w:val="000000"/>
              </w:rPr>
              <w:t>%，C</w:t>
            </w:r>
            <w:r>
              <w:rPr>
                <w:color w:val="000000"/>
                <w:vertAlign w:val="subscript"/>
              </w:rPr>
              <w:t>max</w:t>
            </w:r>
            <w:r>
              <w:rPr>
                <w:color w:val="000000"/>
              </w:rPr>
              <w:t>为</w:t>
            </w:r>
            <w:r>
              <w:rPr>
                <w:rFonts w:hint="eastAsia"/>
                <w:color w:val="000000"/>
              </w:rPr>
              <w:t>1.2182</w:t>
            </w:r>
            <w:r>
              <w:rPr>
                <w:color w:val="000000"/>
              </w:rPr>
              <w:t>ug/m</w:t>
            </w:r>
            <w:r>
              <w:rPr>
                <w:color w:val="000000"/>
                <w:vertAlign w:val="superscript"/>
              </w:rPr>
              <w:t>3</w:t>
            </w:r>
            <w:r>
              <w:rPr>
                <w:rFonts w:hint="eastAsia"/>
                <w:color w:val="000000"/>
              </w:rPr>
              <w:t>。</w:t>
            </w:r>
            <w:r>
              <w:rPr>
                <w:color w:val="000000"/>
              </w:rPr>
              <w:t xml:space="preserve">根据《环境影响评价技术导则 </w:t>
            </w:r>
            <w:r>
              <w:rPr>
                <w:rFonts w:hint="eastAsia"/>
                <w:color w:val="000000"/>
              </w:rPr>
              <w:t xml:space="preserve"> </w:t>
            </w:r>
            <w:r>
              <w:rPr>
                <w:color w:val="000000"/>
              </w:rPr>
              <w:t>大气环境》（HJ2.2-2018）分级判据，确定本项目</w:t>
            </w:r>
            <w:r>
              <w:rPr>
                <w:rFonts w:hint="eastAsia"/>
                <w:color w:val="000000"/>
              </w:rPr>
              <w:t>三座污水处理厂的</w:t>
            </w:r>
            <w:r>
              <w:rPr>
                <w:color w:val="000000"/>
              </w:rPr>
              <w:t>大气环境影响评价工作等级</w:t>
            </w:r>
            <w:r>
              <w:rPr>
                <w:rFonts w:hint="eastAsia"/>
                <w:color w:val="000000"/>
              </w:rPr>
              <w:t>均</w:t>
            </w:r>
            <w:r>
              <w:rPr>
                <w:color w:val="000000"/>
              </w:rPr>
              <w:t>为</w:t>
            </w:r>
            <w:r>
              <w:rPr>
                <w:rFonts w:hint="eastAsia"/>
                <w:color w:val="000000"/>
              </w:rPr>
              <w:t>三</w:t>
            </w:r>
            <w:r>
              <w:rPr>
                <w:color w:val="000000"/>
              </w:rPr>
              <w:t>级。</w:t>
            </w:r>
          </w:p>
          <w:p>
            <w:pPr>
              <w:numPr>
                <w:ilvl w:val="0"/>
                <w:numId w:val="8"/>
              </w:numPr>
              <w:spacing w:line="360" w:lineRule="auto"/>
              <w:ind w:firstLine="480"/>
              <w:rPr>
                <w:b/>
                <w:bCs/>
              </w:rPr>
            </w:pPr>
            <w:r>
              <w:rPr>
                <w:rFonts w:hint="eastAsia"/>
                <w:b/>
                <w:bCs/>
              </w:rPr>
              <w:t>预测结果分析</w:t>
            </w:r>
          </w:p>
          <w:p>
            <w:pPr>
              <w:spacing w:line="360" w:lineRule="auto"/>
              <w:ind w:firstLine="720" w:firstLineChars="300"/>
              <w:rPr>
                <w:b/>
                <w:bCs/>
              </w:rPr>
            </w:pPr>
            <w:r>
              <w:rPr>
                <w:color w:val="000000"/>
              </w:rPr>
              <w:t>根据《环境影响评价技术导则—大气环境》（HJ2.2-2018）中推荐的估算模式即AERSCREEN模式，计算相应浓度占标率，</w:t>
            </w:r>
            <w:r>
              <w:rPr>
                <w:rFonts w:hint="eastAsia"/>
                <w:color w:val="000000"/>
              </w:rPr>
              <w:t>三座污水处理厂的</w:t>
            </w:r>
            <w:r>
              <w:rPr>
                <w:color w:val="000000"/>
              </w:rPr>
              <w:t>预测结果见表</w:t>
            </w:r>
            <w:r>
              <w:rPr>
                <w:rFonts w:hint="eastAsia"/>
                <w:color w:val="000000"/>
              </w:rPr>
              <w:t>下表。</w:t>
            </w:r>
          </w:p>
          <w:p>
            <w:pPr>
              <w:spacing w:line="360" w:lineRule="auto"/>
              <w:ind w:firstLine="723" w:firstLineChars="300"/>
              <w:rPr>
                <w:b/>
                <w:bCs/>
              </w:rPr>
            </w:pPr>
            <w:r>
              <w:rPr>
                <w:rFonts w:hint="eastAsia"/>
                <w:b/>
                <w:bCs/>
              </w:rPr>
              <w:t>① 邓川污水处理厂</w:t>
            </w:r>
          </w:p>
          <w:p>
            <w:pPr>
              <w:pStyle w:val="23"/>
              <w:spacing w:line="360" w:lineRule="auto"/>
              <w:jc w:val="center"/>
              <w:rPr>
                <w:b/>
                <w:bCs/>
                <w:color w:val="000000"/>
                <w:sz w:val="21"/>
                <w:szCs w:val="16"/>
              </w:rPr>
            </w:pPr>
            <w:r>
              <w:rPr>
                <w:b/>
                <w:bCs/>
                <w:color w:val="000000"/>
                <w:sz w:val="21"/>
                <w:szCs w:val="16"/>
              </w:rPr>
              <w:t>表7-</w:t>
            </w:r>
            <w:r>
              <w:rPr>
                <w:rFonts w:hint="eastAsia"/>
                <w:b/>
                <w:bCs/>
                <w:color w:val="000000"/>
                <w:sz w:val="21"/>
                <w:szCs w:val="16"/>
              </w:rPr>
              <w:t xml:space="preserve">7 </w:t>
            </w:r>
            <w:r>
              <w:rPr>
                <w:b/>
                <w:bCs/>
                <w:color w:val="000000"/>
                <w:sz w:val="21"/>
                <w:szCs w:val="16"/>
              </w:rPr>
              <w:t xml:space="preserve"> </w:t>
            </w:r>
            <w:r>
              <w:rPr>
                <w:rFonts w:hint="eastAsia"/>
                <w:b/>
                <w:bCs/>
                <w:color w:val="000000"/>
                <w:sz w:val="21"/>
                <w:szCs w:val="16"/>
              </w:rPr>
              <w:t>邓川污水处理厂主要污染物</w:t>
            </w:r>
            <w:r>
              <w:rPr>
                <w:b/>
                <w:bCs/>
                <w:color w:val="000000"/>
                <w:sz w:val="21"/>
                <w:szCs w:val="16"/>
              </w:rPr>
              <w:t>排放估算模式预测结果</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49"/>
              <w:gridCol w:w="1278"/>
              <w:gridCol w:w="1537"/>
              <w:gridCol w:w="132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pPr>
                    <w:jc w:val="center"/>
                    <w:rPr>
                      <w:b/>
                      <w:bCs/>
                      <w:color w:val="000000"/>
                      <w:sz w:val="21"/>
                      <w:szCs w:val="21"/>
                    </w:rPr>
                  </w:pPr>
                  <w:r>
                    <w:rPr>
                      <w:b/>
                      <w:bCs/>
                      <w:color w:val="000000"/>
                      <w:sz w:val="21"/>
                      <w:szCs w:val="21"/>
                    </w:rPr>
                    <w:t>序号</w:t>
                  </w:r>
                </w:p>
              </w:tc>
              <w:tc>
                <w:tcPr>
                  <w:tcW w:w="1449" w:type="dxa"/>
                  <w:vMerge w:val="restart"/>
                  <w:vAlign w:val="center"/>
                </w:tcPr>
                <w:p>
                  <w:pPr>
                    <w:jc w:val="center"/>
                    <w:rPr>
                      <w:b/>
                      <w:bCs/>
                      <w:color w:val="000000"/>
                      <w:sz w:val="21"/>
                      <w:szCs w:val="21"/>
                    </w:rPr>
                  </w:pPr>
                  <w:r>
                    <w:rPr>
                      <w:b/>
                      <w:bCs/>
                      <w:color w:val="000000"/>
                      <w:sz w:val="21"/>
                      <w:szCs w:val="21"/>
                    </w:rPr>
                    <w:t>下方向距离(m)</w:t>
                  </w:r>
                </w:p>
              </w:tc>
              <w:tc>
                <w:tcPr>
                  <w:tcW w:w="5898" w:type="dxa"/>
                  <w:gridSpan w:val="4"/>
                  <w:vAlign w:val="center"/>
                </w:tcPr>
                <w:p>
                  <w:pPr>
                    <w:jc w:val="center"/>
                    <w:rPr>
                      <w:b/>
                      <w:bCs/>
                      <w:color w:val="000000"/>
                      <w:sz w:val="21"/>
                      <w:szCs w:val="21"/>
                    </w:rPr>
                  </w:pPr>
                  <w:r>
                    <w:rPr>
                      <w:b/>
                      <w:bCs/>
                      <w:color w:val="000000"/>
                      <w:sz w:val="21"/>
                      <w:szCs w:val="21"/>
                    </w:rPr>
                    <w:t>邓川污水处理厂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pPr>
                    <w:jc w:val="center"/>
                    <w:rPr>
                      <w:b/>
                      <w:bCs/>
                      <w:color w:val="000000"/>
                      <w:sz w:val="21"/>
                      <w:szCs w:val="21"/>
                    </w:rPr>
                  </w:pPr>
                </w:p>
              </w:tc>
              <w:tc>
                <w:tcPr>
                  <w:tcW w:w="1449" w:type="dxa"/>
                  <w:vMerge w:val="continue"/>
                  <w:vAlign w:val="center"/>
                </w:tcPr>
                <w:p>
                  <w:pPr>
                    <w:jc w:val="center"/>
                    <w:rPr>
                      <w:b/>
                      <w:bCs/>
                      <w:color w:val="000000"/>
                      <w:sz w:val="21"/>
                      <w:szCs w:val="21"/>
                    </w:rPr>
                  </w:pPr>
                </w:p>
              </w:tc>
              <w:tc>
                <w:tcPr>
                  <w:tcW w:w="1278" w:type="dxa"/>
                  <w:vAlign w:val="center"/>
                </w:tcPr>
                <w:p>
                  <w:pPr>
                    <w:jc w:val="center"/>
                    <w:rPr>
                      <w:b/>
                      <w:bCs/>
                      <w:color w:val="000000"/>
                      <w:sz w:val="21"/>
                      <w:szCs w:val="21"/>
                    </w:rPr>
                  </w:pPr>
                  <w:r>
                    <w:rPr>
                      <w:b/>
                      <w:bCs/>
                      <w:color w:val="000000"/>
                      <w:sz w:val="21"/>
                      <w:szCs w:val="21"/>
                    </w:rPr>
                    <w:t>氨浓度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537" w:type="dxa"/>
                  <w:vAlign w:val="center"/>
                </w:tcPr>
                <w:p>
                  <w:pPr>
                    <w:jc w:val="center"/>
                    <w:rPr>
                      <w:b/>
                      <w:bCs/>
                      <w:color w:val="000000"/>
                      <w:sz w:val="21"/>
                      <w:szCs w:val="21"/>
                    </w:rPr>
                  </w:pPr>
                  <w:r>
                    <w:rPr>
                      <w:b/>
                      <w:bCs/>
                      <w:color w:val="000000"/>
                      <w:sz w:val="21"/>
                      <w:szCs w:val="21"/>
                    </w:rPr>
                    <w:t>氨占标率</w:t>
                  </w:r>
                </w:p>
                <w:p>
                  <w:pPr>
                    <w:jc w:val="center"/>
                    <w:rPr>
                      <w:b/>
                      <w:bCs/>
                      <w:color w:val="000000"/>
                      <w:sz w:val="21"/>
                      <w:szCs w:val="21"/>
                    </w:rPr>
                  </w:pPr>
                  <w:r>
                    <w:rPr>
                      <w:b/>
                      <w:bCs/>
                      <w:color w:val="000000"/>
                      <w:sz w:val="21"/>
                      <w:szCs w:val="21"/>
                    </w:rPr>
                    <w:t>（%）</w:t>
                  </w:r>
                </w:p>
              </w:tc>
              <w:tc>
                <w:tcPr>
                  <w:tcW w:w="1327" w:type="dxa"/>
                  <w:vAlign w:val="center"/>
                </w:tcPr>
                <w:p>
                  <w:pPr>
                    <w:jc w:val="center"/>
                    <w:rPr>
                      <w:b/>
                      <w:bCs/>
                      <w:color w:val="000000"/>
                      <w:sz w:val="21"/>
                      <w:szCs w:val="21"/>
                    </w:rPr>
                  </w:pPr>
                  <w:r>
                    <w:rPr>
                      <w:b/>
                      <w:bCs/>
                      <w:color w:val="000000"/>
                      <w:sz w:val="21"/>
                      <w:szCs w:val="21"/>
                    </w:rPr>
                    <w:t>硫化氢浓度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756" w:type="dxa"/>
                  <w:vAlign w:val="center"/>
                </w:tcPr>
                <w:p>
                  <w:pPr>
                    <w:jc w:val="center"/>
                    <w:rPr>
                      <w:b/>
                      <w:bCs/>
                      <w:color w:val="000000"/>
                      <w:sz w:val="21"/>
                      <w:szCs w:val="21"/>
                    </w:rPr>
                  </w:pPr>
                  <w:r>
                    <w:rPr>
                      <w:b/>
                      <w:bCs/>
                      <w:color w:val="000000"/>
                      <w:sz w:val="21"/>
                      <w:szCs w:val="21"/>
                    </w:rPr>
                    <w:t>硫化氢占标率</w:t>
                  </w:r>
                </w:p>
                <w:p>
                  <w:pPr>
                    <w:jc w:val="center"/>
                    <w:rPr>
                      <w:b/>
                      <w:bCs/>
                      <w:color w:val="000000"/>
                      <w:sz w:val="21"/>
                      <w:szCs w:val="21"/>
                    </w:rPr>
                  </w:pPr>
                  <w:r>
                    <w:rPr>
                      <w:b/>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w:t>
                  </w:r>
                </w:p>
              </w:tc>
              <w:tc>
                <w:tcPr>
                  <w:tcW w:w="1449" w:type="dxa"/>
                  <w:vAlign w:val="center"/>
                </w:tcPr>
                <w:p>
                  <w:pPr>
                    <w:jc w:val="center"/>
                    <w:rPr>
                      <w:color w:val="000000"/>
                      <w:sz w:val="21"/>
                      <w:szCs w:val="21"/>
                    </w:rPr>
                  </w:pPr>
                  <w:r>
                    <w:rPr>
                      <w:sz w:val="21"/>
                      <w:szCs w:val="21"/>
                    </w:rPr>
                    <w:t>10.0</w:t>
                  </w:r>
                </w:p>
              </w:tc>
              <w:tc>
                <w:tcPr>
                  <w:tcW w:w="1278" w:type="dxa"/>
                  <w:vAlign w:val="center"/>
                </w:tcPr>
                <w:p>
                  <w:pPr>
                    <w:jc w:val="center"/>
                    <w:rPr>
                      <w:sz w:val="21"/>
                      <w:szCs w:val="21"/>
                    </w:rPr>
                  </w:pPr>
                  <w:r>
                    <w:rPr>
                      <w:sz w:val="21"/>
                      <w:szCs w:val="21"/>
                    </w:rPr>
                    <w:t>1.0282</w:t>
                  </w:r>
                </w:p>
              </w:tc>
              <w:tc>
                <w:tcPr>
                  <w:tcW w:w="1537" w:type="dxa"/>
                  <w:vAlign w:val="center"/>
                </w:tcPr>
                <w:p>
                  <w:pPr>
                    <w:jc w:val="center"/>
                    <w:rPr>
                      <w:sz w:val="21"/>
                      <w:szCs w:val="21"/>
                    </w:rPr>
                  </w:pPr>
                  <w:r>
                    <w:rPr>
                      <w:sz w:val="21"/>
                      <w:szCs w:val="21"/>
                    </w:rPr>
                    <w:t>0.5141</w:t>
                  </w:r>
                </w:p>
              </w:tc>
              <w:tc>
                <w:tcPr>
                  <w:tcW w:w="1327" w:type="dxa"/>
                  <w:vAlign w:val="center"/>
                </w:tcPr>
                <w:p>
                  <w:pPr>
                    <w:jc w:val="center"/>
                    <w:rPr>
                      <w:sz w:val="21"/>
                      <w:szCs w:val="21"/>
                    </w:rPr>
                  </w:pPr>
                  <w:r>
                    <w:rPr>
                      <w:sz w:val="21"/>
                      <w:szCs w:val="21"/>
                    </w:rPr>
                    <w:t>0.0033</w:t>
                  </w:r>
                </w:p>
              </w:tc>
              <w:tc>
                <w:tcPr>
                  <w:tcW w:w="1756" w:type="dxa"/>
                  <w:vAlign w:val="center"/>
                </w:tcPr>
                <w:p>
                  <w:pPr>
                    <w:jc w:val="center"/>
                    <w:rPr>
                      <w:sz w:val="21"/>
                      <w:szCs w:val="21"/>
                    </w:rPr>
                  </w:pPr>
                  <w:r>
                    <w:rPr>
                      <w:sz w:val="21"/>
                      <w:szCs w:val="21"/>
                    </w:rPr>
                    <w:t>0.0326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w:t>
                  </w:r>
                </w:p>
              </w:tc>
              <w:tc>
                <w:tcPr>
                  <w:tcW w:w="1449" w:type="dxa"/>
                  <w:vAlign w:val="center"/>
                </w:tcPr>
                <w:p>
                  <w:pPr>
                    <w:jc w:val="center"/>
                    <w:rPr>
                      <w:color w:val="000000"/>
                      <w:sz w:val="21"/>
                      <w:szCs w:val="21"/>
                    </w:rPr>
                  </w:pPr>
                  <w:r>
                    <w:rPr>
                      <w:sz w:val="21"/>
                      <w:szCs w:val="21"/>
                    </w:rPr>
                    <w:t>50.0</w:t>
                  </w:r>
                </w:p>
              </w:tc>
              <w:tc>
                <w:tcPr>
                  <w:tcW w:w="1278" w:type="dxa"/>
                  <w:vAlign w:val="center"/>
                </w:tcPr>
                <w:p>
                  <w:pPr>
                    <w:jc w:val="center"/>
                    <w:rPr>
                      <w:sz w:val="21"/>
                      <w:szCs w:val="21"/>
                    </w:rPr>
                  </w:pPr>
                  <w:r>
                    <w:rPr>
                      <w:sz w:val="21"/>
                      <w:szCs w:val="21"/>
                    </w:rPr>
                    <w:t>1.6309</w:t>
                  </w:r>
                </w:p>
              </w:tc>
              <w:tc>
                <w:tcPr>
                  <w:tcW w:w="1537" w:type="dxa"/>
                  <w:vAlign w:val="center"/>
                </w:tcPr>
                <w:p>
                  <w:pPr>
                    <w:jc w:val="center"/>
                    <w:rPr>
                      <w:sz w:val="21"/>
                      <w:szCs w:val="21"/>
                    </w:rPr>
                  </w:pPr>
                  <w:r>
                    <w:rPr>
                      <w:sz w:val="21"/>
                      <w:szCs w:val="21"/>
                    </w:rPr>
                    <w:t>0.8155</w:t>
                  </w:r>
                </w:p>
              </w:tc>
              <w:tc>
                <w:tcPr>
                  <w:tcW w:w="1327" w:type="dxa"/>
                  <w:vAlign w:val="center"/>
                </w:tcPr>
                <w:p>
                  <w:pPr>
                    <w:jc w:val="center"/>
                    <w:rPr>
                      <w:sz w:val="21"/>
                      <w:szCs w:val="21"/>
                    </w:rPr>
                  </w:pPr>
                  <w:r>
                    <w:rPr>
                      <w:sz w:val="21"/>
                      <w:szCs w:val="21"/>
                    </w:rPr>
                    <w:t>0.0052</w:t>
                  </w:r>
                </w:p>
              </w:tc>
              <w:tc>
                <w:tcPr>
                  <w:tcW w:w="1756" w:type="dxa"/>
                  <w:vAlign w:val="center"/>
                </w:tcPr>
                <w:p>
                  <w:pPr>
                    <w:jc w:val="center"/>
                    <w:rPr>
                      <w:sz w:val="21"/>
                      <w:szCs w:val="21"/>
                    </w:rPr>
                  </w:pPr>
                  <w:r>
                    <w:rPr>
                      <w:sz w:val="21"/>
                      <w:szCs w:val="21"/>
                    </w:rPr>
                    <w:t>0.0518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b/>
                      <w:bCs/>
                      <w:color w:val="000000"/>
                    </w:rPr>
                    <w:t>3</w:t>
                  </w:r>
                </w:p>
              </w:tc>
              <w:tc>
                <w:tcPr>
                  <w:tcW w:w="1449" w:type="dxa"/>
                  <w:vAlign w:val="center"/>
                </w:tcPr>
                <w:p>
                  <w:pPr>
                    <w:jc w:val="center"/>
                    <w:rPr>
                      <w:b/>
                      <w:bCs/>
                      <w:color w:val="000000"/>
                      <w:sz w:val="21"/>
                      <w:szCs w:val="21"/>
                    </w:rPr>
                  </w:pPr>
                  <w:r>
                    <w:rPr>
                      <w:b/>
                      <w:bCs/>
                      <w:sz w:val="21"/>
                      <w:szCs w:val="21"/>
                    </w:rPr>
                    <w:t>74.0</w:t>
                  </w:r>
                </w:p>
              </w:tc>
              <w:tc>
                <w:tcPr>
                  <w:tcW w:w="1278" w:type="dxa"/>
                  <w:vAlign w:val="center"/>
                </w:tcPr>
                <w:p>
                  <w:pPr>
                    <w:jc w:val="center"/>
                    <w:rPr>
                      <w:b/>
                      <w:bCs/>
                      <w:sz w:val="21"/>
                      <w:szCs w:val="21"/>
                    </w:rPr>
                  </w:pPr>
                  <w:r>
                    <w:rPr>
                      <w:b/>
                      <w:bCs/>
                      <w:sz w:val="21"/>
                      <w:szCs w:val="21"/>
                    </w:rPr>
                    <w:t>1.7899</w:t>
                  </w:r>
                </w:p>
              </w:tc>
              <w:tc>
                <w:tcPr>
                  <w:tcW w:w="1537" w:type="dxa"/>
                  <w:vAlign w:val="center"/>
                </w:tcPr>
                <w:p>
                  <w:pPr>
                    <w:jc w:val="center"/>
                    <w:rPr>
                      <w:b/>
                      <w:bCs/>
                      <w:sz w:val="21"/>
                      <w:szCs w:val="21"/>
                    </w:rPr>
                  </w:pPr>
                  <w:r>
                    <w:rPr>
                      <w:b/>
                      <w:bCs/>
                      <w:sz w:val="21"/>
                      <w:szCs w:val="21"/>
                    </w:rPr>
                    <w:t>0.8950</w:t>
                  </w:r>
                </w:p>
              </w:tc>
              <w:tc>
                <w:tcPr>
                  <w:tcW w:w="1327" w:type="dxa"/>
                  <w:vAlign w:val="center"/>
                </w:tcPr>
                <w:p>
                  <w:pPr>
                    <w:jc w:val="center"/>
                    <w:rPr>
                      <w:b/>
                      <w:bCs/>
                      <w:sz w:val="21"/>
                      <w:szCs w:val="21"/>
                    </w:rPr>
                  </w:pPr>
                  <w:r>
                    <w:rPr>
                      <w:b/>
                      <w:bCs/>
                      <w:sz w:val="21"/>
                      <w:szCs w:val="21"/>
                    </w:rPr>
                    <w:t>0.0057</w:t>
                  </w:r>
                </w:p>
              </w:tc>
              <w:tc>
                <w:tcPr>
                  <w:tcW w:w="1756" w:type="dxa"/>
                  <w:vAlign w:val="center"/>
                </w:tcPr>
                <w:p>
                  <w:pPr>
                    <w:jc w:val="center"/>
                    <w:rPr>
                      <w:b/>
                      <w:bCs/>
                      <w:sz w:val="21"/>
                      <w:szCs w:val="21"/>
                    </w:rPr>
                  </w:pPr>
                  <w:r>
                    <w:rPr>
                      <w:b/>
                      <w:bCs/>
                      <w:sz w:val="21"/>
                      <w:szCs w:val="21"/>
                    </w:rPr>
                    <w:t>0.0568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4</w:t>
                  </w:r>
                </w:p>
              </w:tc>
              <w:tc>
                <w:tcPr>
                  <w:tcW w:w="1449" w:type="dxa"/>
                  <w:vAlign w:val="center"/>
                </w:tcPr>
                <w:p>
                  <w:pPr>
                    <w:jc w:val="center"/>
                    <w:rPr>
                      <w:color w:val="000000"/>
                      <w:sz w:val="21"/>
                      <w:szCs w:val="21"/>
                    </w:rPr>
                  </w:pPr>
                  <w:r>
                    <w:rPr>
                      <w:sz w:val="21"/>
                      <w:szCs w:val="21"/>
                    </w:rPr>
                    <w:t>100.0</w:t>
                  </w:r>
                </w:p>
              </w:tc>
              <w:tc>
                <w:tcPr>
                  <w:tcW w:w="1278" w:type="dxa"/>
                  <w:vAlign w:val="center"/>
                </w:tcPr>
                <w:p>
                  <w:pPr>
                    <w:jc w:val="center"/>
                    <w:rPr>
                      <w:sz w:val="21"/>
                      <w:szCs w:val="21"/>
                    </w:rPr>
                  </w:pPr>
                  <w:r>
                    <w:rPr>
                      <w:sz w:val="21"/>
                      <w:szCs w:val="21"/>
                    </w:rPr>
                    <w:t>1.6519</w:t>
                  </w:r>
                </w:p>
              </w:tc>
              <w:tc>
                <w:tcPr>
                  <w:tcW w:w="1537" w:type="dxa"/>
                  <w:vAlign w:val="center"/>
                </w:tcPr>
                <w:p>
                  <w:pPr>
                    <w:jc w:val="center"/>
                    <w:rPr>
                      <w:sz w:val="21"/>
                      <w:szCs w:val="21"/>
                    </w:rPr>
                  </w:pPr>
                  <w:r>
                    <w:rPr>
                      <w:sz w:val="21"/>
                      <w:szCs w:val="21"/>
                    </w:rPr>
                    <w:t>0.8259</w:t>
                  </w:r>
                </w:p>
              </w:tc>
              <w:tc>
                <w:tcPr>
                  <w:tcW w:w="1327" w:type="dxa"/>
                  <w:vAlign w:val="center"/>
                </w:tcPr>
                <w:p>
                  <w:pPr>
                    <w:jc w:val="center"/>
                    <w:rPr>
                      <w:sz w:val="21"/>
                      <w:szCs w:val="21"/>
                    </w:rPr>
                  </w:pPr>
                  <w:r>
                    <w:rPr>
                      <w:sz w:val="21"/>
                      <w:szCs w:val="21"/>
                    </w:rPr>
                    <w:t>0.0052</w:t>
                  </w:r>
                </w:p>
              </w:tc>
              <w:tc>
                <w:tcPr>
                  <w:tcW w:w="1756" w:type="dxa"/>
                  <w:vAlign w:val="center"/>
                </w:tcPr>
                <w:p>
                  <w:pPr>
                    <w:jc w:val="center"/>
                    <w:rPr>
                      <w:sz w:val="21"/>
                      <w:szCs w:val="21"/>
                    </w:rPr>
                  </w:pPr>
                  <w:r>
                    <w:rPr>
                      <w:sz w:val="21"/>
                      <w:szCs w:val="21"/>
                    </w:rPr>
                    <w:t>0.0524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5</w:t>
                  </w:r>
                </w:p>
              </w:tc>
              <w:tc>
                <w:tcPr>
                  <w:tcW w:w="1449" w:type="dxa"/>
                  <w:vAlign w:val="center"/>
                </w:tcPr>
                <w:p>
                  <w:pPr>
                    <w:jc w:val="center"/>
                    <w:rPr>
                      <w:color w:val="000000"/>
                      <w:sz w:val="21"/>
                      <w:szCs w:val="21"/>
                    </w:rPr>
                  </w:pPr>
                  <w:r>
                    <w:rPr>
                      <w:sz w:val="21"/>
                      <w:szCs w:val="21"/>
                    </w:rPr>
                    <w:t>200.0</w:t>
                  </w:r>
                </w:p>
              </w:tc>
              <w:tc>
                <w:tcPr>
                  <w:tcW w:w="1278" w:type="dxa"/>
                  <w:vAlign w:val="center"/>
                </w:tcPr>
                <w:p>
                  <w:pPr>
                    <w:jc w:val="center"/>
                    <w:rPr>
                      <w:sz w:val="21"/>
                      <w:szCs w:val="21"/>
                    </w:rPr>
                  </w:pPr>
                  <w:r>
                    <w:rPr>
                      <w:sz w:val="21"/>
                      <w:szCs w:val="21"/>
                    </w:rPr>
                    <w:t>1.0295</w:t>
                  </w:r>
                </w:p>
              </w:tc>
              <w:tc>
                <w:tcPr>
                  <w:tcW w:w="1537" w:type="dxa"/>
                  <w:vAlign w:val="center"/>
                </w:tcPr>
                <w:p>
                  <w:pPr>
                    <w:jc w:val="center"/>
                    <w:rPr>
                      <w:sz w:val="21"/>
                      <w:szCs w:val="21"/>
                    </w:rPr>
                  </w:pPr>
                  <w:r>
                    <w:rPr>
                      <w:sz w:val="21"/>
                      <w:szCs w:val="21"/>
                    </w:rPr>
                    <w:t>0.5148</w:t>
                  </w:r>
                </w:p>
              </w:tc>
              <w:tc>
                <w:tcPr>
                  <w:tcW w:w="1327" w:type="dxa"/>
                  <w:vAlign w:val="center"/>
                </w:tcPr>
                <w:p>
                  <w:pPr>
                    <w:jc w:val="center"/>
                    <w:rPr>
                      <w:sz w:val="21"/>
                      <w:szCs w:val="21"/>
                    </w:rPr>
                  </w:pPr>
                  <w:r>
                    <w:rPr>
                      <w:sz w:val="21"/>
                      <w:szCs w:val="21"/>
                    </w:rPr>
                    <w:t>0.0033</w:t>
                  </w:r>
                </w:p>
              </w:tc>
              <w:tc>
                <w:tcPr>
                  <w:tcW w:w="1756" w:type="dxa"/>
                  <w:vAlign w:val="center"/>
                </w:tcPr>
                <w:p>
                  <w:pPr>
                    <w:jc w:val="center"/>
                    <w:rPr>
                      <w:sz w:val="21"/>
                      <w:szCs w:val="21"/>
                    </w:rPr>
                  </w:pPr>
                  <w:r>
                    <w:rPr>
                      <w:sz w:val="21"/>
                      <w:szCs w:val="21"/>
                    </w:rPr>
                    <w:t>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6</w:t>
                  </w:r>
                </w:p>
              </w:tc>
              <w:tc>
                <w:tcPr>
                  <w:tcW w:w="1449" w:type="dxa"/>
                  <w:vAlign w:val="center"/>
                </w:tcPr>
                <w:p>
                  <w:pPr>
                    <w:jc w:val="center"/>
                    <w:rPr>
                      <w:color w:val="000000"/>
                      <w:sz w:val="21"/>
                      <w:szCs w:val="21"/>
                    </w:rPr>
                  </w:pPr>
                  <w:r>
                    <w:rPr>
                      <w:sz w:val="21"/>
                      <w:szCs w:val="21"/>
                    </w:rPr>
                    <w:t>300.0</w:t>
                  </w:r>
                </w:p>
              </w:tc>
              <w:tc>
                <w:tcPr>
                  <w:tcW w:w="1278" w:type="dxa"/>
                  <w:vAlign w:val="center"/>
                </w:tcPr>
                <w:p>
                  <w:pPr>
                    <w:jc w:val="center"/>
                    <w:rPr>
                      <w:sz w:val="21"/>
                      <w:szCs w:val="21"/>
                    </w:rPr>
                  </w:pPr>
                  <w:r>
                    <w:rPr>
                      <w:sz w:val="21"/>
                      <w:szCs w:val="21"/>
                    </w:rPr>
                    <w:t>0.7866</w:t>
                  </w:r>
                </w:p>
              </w:tc>
              <w:tc>
                <w:tcPr>
                  <w:tcW w:w="1537" w:type="dxa"/>
                  <w:vAlign w:val="center"/>
                </w:tcPr>
                <w:p>
                  <w:pPr>
                    <w:jc w:val="center"/>
                    <w:rPr>
                      <w:sz w:val="21"/>
                      <w:szCs w:val="21"/>
                    </w:rPr>
                  </w:pPr>
                  <w:r>
                    <w:rPr>
                      <w:sz w:val="21"/>
                      <w:szCs w:val="21"/>
                    </w:rPr>
                    <w:t>0.3933</w:t>
                  </w:r>
                </w:p>
              </w:tc>
              <w:tc>
                <w:tcPr>
                  <w:tcW w:w="1327" w:type="dxa"/>
                  <w:vAlign w:val="center"/>
                </w:tcPr>
                <w:p>
                  <w:pPr>
                    <w:jc w:val="center"/>
                    <w:rPr>
                      <w:sz w:val="21"/>
                      <w:szCs w:val="21"/>
                    </w:rPr>
                  </w:pPr>
                  <w:r>
                    <w:rPr>
                      <w:sz w:val="21"/>
                      <w:szCs w:val="21"/>
                    </w:rPr>
                    <w:t>0.0025</w:t>
                  </w:r>
                </w:p>
              </w:tc>
              <w:tc>
                <w:tcPr>
                  <w:tcW w:w="1756" w:type="dxa"/>
                  <w:vAlign w:val="center"/>
                </w:tcPr>
                <w:p>
                  <w:pPr>
                    <w:jc w:val="center"/>
                    <w:rPr>
                      <w:sz w:val="21"/>
                      <w:szCs w:val="21"/>
                    </w:rPr>
                  </w:pPr>
                  <w:r>
                    <w:rPr>
                      <w:sz w:val="21"/>
                      <w:szCs w:val="21"/>
                    </w:rPr>
                    <w:t>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7</w:t>
                  </w:r>
                </w:p>
              </w:tc>
              <w:tc>
                <w:tcPr>
                  <w:tcW w:w="1449" w:type="dxa"/>
                  <w:vAlign w:val="center"/>
                </w:tcPr>
                <w:p>
                  <w:pPr>
                    <w:jc w:val="center"/>
                    <w:rPr>
                      <w:color w:val="000000"/>
                      <w:sz w:val="21"/>
                      <w:szCs w:val="21"/>
                    </w:rPr>
                  </w:pPr>
                  <w:r>
                    <w:rPr>
                      <w:sz w:val="21"/>
                      <w:szCs w:val="21"/>
                    </w:rPr>
                    <w:t>400.0</w:t>
                  </w:r>
                </w:p>
              </w:tc>
              <w:tc>
                <w:tcPr>
                  <w:tcW w:w="1278" w:type="dxa"/>
                  <w:vAlign w:val="center"/>
                </w:tcPr>
                <w:p>
                  <w:pPr>
                    <w:jc w:val="center"/>
                    <w:rPr>
                      <w:sz w:val="21"/>
                      <w:szCs w:val="21"/>
                    </w:rPr>
                  </w:pPr>
                  <w:r>
                    <w:rPr>
                      <w:sz w:val="21"/>
                      <w:szCs w:val="21"/>
                    </w:rPr>
                    <w:t>0.6603</w:t>
                  </w:r>
                </w:p>
              </w:tc>
              <w:tc>
                <w:tcPr>
                  <w:tcW w:w="1537" w:type="dxa"/>
                  <w:vAlign w:val="center"/>
                </w:tcPr>
                <w:p>
                  <w:pPr>
                    <w:jc w:val="center"/>
                    <w:rPr>
                      <w:sz w:val="21"/>
                      <w:szCs w:val="21"/>
                    </w:rPr>
                  </w:pPr>
                  <w:r>
                    <w:rPr>
                      <w:sz w:val="21"/>
                      <w:szCs w:val="21"/>
                    </w:rPr>
                    <w:t>0.3302</w:t>
                  </w:r>
                </w:p>
              </w:tc>
              <w:tc>
                <w:tcPr>
                  <w:tcW w:w="1327" w:type="dxa"/>
                  <w:vAlign w:val="center"/>
                </w:tcPr>
                <w:p>
                  <w:pPr>
                    <w:jc w:val="center"/>
                    <w:rPr>
                      <w:sz w:val="21"/>
                      <w:szCs w:val="21"/>
                    </w:rPr>
                  </w:pPr>
                  <w:r>
                    <w:rPr>
                      <w:sz w:val="21"/>
                      <w:szCs w:val="21"/>
                    </w:rPr>
                    <w:t>0.0021</w:t>
                  </w:r>
                </w:p>
              </w:tc>
              <w:tc>
                <w:tcPr>
                  <w:tcW w:w="1756" w:type="dxa"/>
                  <w:vAlign w:val="center"/>
                </w:tcPr>
                <w:p>
                  <w:pPr>
                    <w:jc w:val="center"/>
                    <w:rPr>
                      <w:sz w:val="21"/>
                      <w:szCs w:val="21"/>
                    </w:rPr>
                  </w:pPr>
                  <w:r>
                    <w:rPr>
                      <w:sz w:val="21"/>
                      <w:szCs w:val="21"/>
                    </w:rPr>
                    <w:t>0.0210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8</w:t>
                  </w:r>
                </w:p>
              </w:tc>
              <w:tc>
                <w:tcPr>
                  <w:tcW w:w="1449" w:type="dxa"/>
                  <w:vAlign w:val="center"/>
                </w:tcPr>
                <w:p>
                  <w:pPr>
                    <w:jc w:val="center"/>
                    <w:rPr>
                      <w:color w:val="000000"/>
                      <w:sz w:val="21"/>
                      <w:szCs w:val="21"/>
                    </w:rPr>
                  </w:pPr>
                  <w:r>
                    <w:rPr>
                      <w:sz w:val="21"/>
                      <w:szCs w:val="21"/>
                    </w:rPr>
                    <w:t>500.0</w:t>
                  </w:r>
                </w:p>
              </w:tc>
              <w:tc>
                <w:tcPr>
                  <w:tcW w:w="1278" w:type="dxa"/>
                  <w:vAlign w:val="center"/>
                </w:tcPr>
                <w:p>
                  <w:pPr>
                    <w:jc w:val="center"/>
                    <w:rPr>
                      <w:sz w:val="21"/>
                      <w:szCs w:val="21"/>
                    </w:rPr>
                  </w:pPr>
                  <w:r>
                    <w:rPr>
                      <w:sz w:val="21"/>
                      <w:szCs w:val="21"/>
                    </w:rPr>
                    <w:t>0.5830</w:t>
                  </w:r>
                </w:p>
              </w:tc>
              <w:tc>
                <w:tcPr>
                  <w:tcW w:w="1537" w:type="dxa"/>
                  <w:vAlign w:val="center"/>
                </w:tcPr>
                <w:p>
                  <w:pPr>
                    <w:jc w:val="center"/>
                    <w:rPr>
                      <w:sz w:val="21"/>
                      <w:szCs w:val="21"/>
                    </w:rPr>
                  </w:pPr>
                  <w:r>
                    <w:rPr>
                      <w:sz w:val="21"/>
                      <w:szCs w:val="21"/>
                    </w:rPr>
                    <w:t>0.2915</w:t>
                  </w:r>
                </w:p>
              </w:tc>
              <w:tc>
                <w:tcPr>
                  <w:tcW w:w="1327" w:type="dxa"/>
                  <w:vAlign w:val="center"/>
                </w:tcPr>
                <w:p>
                  <w:pPr>
                    <w:jc w:val="center"/>
                    <w:rPr>
                      <w:sz w:val="21"/>
                      <w:szCs w:val="21"/>
                    </w:rPr>
                  </w:pPr>
                  <w:r>
                    <w:rPr>
                      <w:sz w:val="21"/>
                      <w:szCs w:val="21"/>
                    </w:rPr>
                    <w:t>0.0019</w:t>
                  </w:r>
                </w:p>
              </w:tc>
              <w:tc>
                <w:tcPr>
                  <w:tcW w:w="1756" w:type="dxa"/>
                  <w:vAlign w:val="center"/>
                </w:tcPr>
                <w:p>
                  <w:pPr>
                    <w:jc w:val="center"/>
                    <w:rPr>
                      <w:sz w:val="21"/>
                      <w:szCs w:val="21"/>
                    </w:rPr>
                  </w:pPr>
                  <w:r>
                    <w:rPr>
                      <w:sz w:val="21"/>
                      <w:szCs w:val="21"/>
                    </w:rPr>
                    <w:t>0.0185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9</w:t>
                  </w:r>
                </w:p>
              </w:tc>
              <w:tc>
                <w:tcPr>
                  <w:tcW w:w="1449" w:type="dxa"/>
                  <w:vAlign w:val="center"/>
                </w:tcPr>
                <w:p>
                  <w:pPr>
                    <w:jc w:val="center"/>
                    <w:rPr>
                      <w:color w:val="000000"/>
                      <w:sz w:val="21"/>
                      <w:szCs w:val="21"/>
                    </w:rPr>
                  </w:pPr>
                  <w:r>
                    <w:rPr>
                      <w:sz w:val="21"/>
                      <w:szCs w:val="21"/>
                    </w:rPr>
                    <w:t>600.0</w:t>
                  </w:r>
                </w:p>
              </w:tc>
              <w:tc>
                <w:tcPr>
                  <w:tcW w:w="1278" w:type="dxa"/>
                  <w:vAlign w:val="center"/>
                </w:tcPr>
                <w:p>
                  <w:pPr>
                    <w:jc w:val="center"/>
                    <w:rPr>
                      <w:sz w:val="21"/>
                      <w:szCs w:val="21"/>
                    </w:rPr>
                  </w:pPr>
                  <w:r>
                    <w:rPr>
                      <w:sz w:val="21"/>
                      <w:szCs w:val="21"/>
                    </w:rPr>
                    <w:t>0.5517</w:t>
                  </w:r>
                </w:p>
              </w:tc>
              <w:tc>
                <w:tcPr>
                  <w:tcW w:w="1537" w:type="dxa"/>
                  <w:vAlign w:val="center"/>
                </w:tcPr>
                <w:p>
                  <w:pPr>
                    <w:jc w:val="center"/>
                    <w:rPr>
                      <w:sz w:val="21"/>
                      <w:szCs w:val="21"/>
                    </w:rPr>
                  </w:pPr>
                  <w:r>
                    <w:rPr>
                      <w:sz w:val="21"/>
                      <w:szCs w:val="21"/>
                    </w:rPr>
                    <w:t>0.2759</w:t>
                  </w:r>
                </w:p>
              </w:tc>
              <w:tc>
                <w:tcPr>
                  <w:tcW w:w="1327" w:type="dxa"/>
                  <w:vAlign w:val="center"/>
                </w:tcPr>
                <w:p>
                  <w:pPr>
                    <w:jc w:val="center"/>
                    <w:rPr>
                      <w:sz w:val="21"/>
                      <w:szCs w:val="21"/>
                    </w:rPr>
                  </w:pPr>
                  <w:r>
                    <w:rPr>
                      <w:sz w:val="21"/>
                      <w:szCs w:val="21"/>
                    </w:rPr>
                    <w:t>0.0018</w:t>
                  </w:r>
                </w:p>
              </w:tc>
              <w:tc>
                <w:tcPr>
                  <w:tcW w:w="1756" w:type="dxa"/>
                  <w:vAlign w:val="center"/>
                </w:tcPr>
                <w:p>
                  <w:pPr>
                    <w:jc w:val="center"/>
                    <w:rPr>
                      <w:sz w:val="21"/>
                      <w:szCs w:val="21"/>
                    </w:rPr>
                  </w:pPr>
                  <w:r>
                    <w:rPr>
                      <w:sz w:val="21"/>
                      <w:szCs w:val="21"/>
                    </w:rPr>
                    <w:t>0.0175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10</w:t>
                  </w:r>
                </w:p>
              </w:tc>
              <w:tc>
                <w:tcPr>
                  <w:tcW w:w="1449" w:type="dxa"/>
                  <w:vAlign w:val="center"/>
                </w:tcPr>
                <w:p>
                  <w:pPr>
                    <w:jc w:val="center"/>
                    <w:rPr>
                      <w:color w:val="000000"/>
                      <w:sz w:val="21"/>
                      <w:szCs w:val="21"/>
                    </w:rPr>
                  </w:pPr>
                  <w:r>
                    <w:rPr>
                      <w:sz w:val="21"/>
                      <w:szCs w:val="21"/>
                    </w:rPr>
                    <w:t>700.0</w:t>
                  </w:r>
                </w:p>
              </w:tc>
              <w:tc>
                <w:tcPr>
                  <w:tcW w:w="1278" w:type="dxa"/>
                  <w:vAlign w:val="center"/>
                </w:tcPr>
                <w:p>
                  <w:pPr>
                    <w:jc w:val="center"/>
                    <w:rPr>
                      <w:sz w:val="21"/>
                      <w:szCs w:val="21"/>
                    </w:rPr>
                  </w:pPr>
                  <w:r>
                    <w:rPr>
                      <w:sz w:val="21"/>
                      <w:szCs w:val="21"/>
                    </w:rPr>
                    <w:t>0.5244</w:t>
                  </w:r>
                </w:p>
              </w:tc>
              <w:tc>
                <w:tcPr>
                  <w:tcW w:w="1537" w:type="dxa"/>
                  <w:vAlign w:val="center"/>
                </w:tcPr>
                <w:p>
                  <w:pPr>
                    <w:jc w:val="center"/>
                    <w:rPr>
                      <w:sz w:val="21"/>
                      <w:szCs w:val="21"/>
                    </w:rPr>
                  </w:pPr>
                  <w:r>
                    <w:rPr>
                      <w:sz w:val="21"/>
                      <w:szCs w:val="21"/>
                    </w:rPr>
                    <w:t>0.2622</w:t>
                  </w:r>
                </w:p>
              </w:tc>
              <w:tc>
                <w:tcPr>
                  <w:tcW w:w="1327" w:type="dxa"/>
                  <w:vAlign w:val="center"/>
                </w:tcPr>
                <w:p>
                  <w:pPr>
                    <w:jc w:val="center"/>
                    <w:rPr>
                      <w:sz w:val="21"/>
                      <w:szCs w:val="21"/>
                    </w:rPr>
                  </w:pPr>
                  <w:r>
                    <w:rPr>
                      <w:sz w:val="21"/>
                      <w:szCs w:val="21"/>
                    </w:rPr>
                    <w:t>0.0017</w:t>
                  </w:r>
                </w:p>
              </w:tc>
              <w:tc>
                <w:tcPr>
                  <w:tcW w:w="1756" w:type="dxa"/>
                  <w:vAlign w:val="center"/>
                </w:tcPr>
                <w:p>
                  <w:pPr>
                    <w:jc w:val="center"/>
                    <w:rPr>
                      <w:sz w:val="21"/>
                      <w:szCs w:val="21"/>
                    </w:rPr>
                  </w:pPr>
                  <w:r>
                    <w:rPr>
                      <w:sz w:val="21"/>
                      <w:szCs w:val="21"/>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11</w:t>
                  </w:r>
                </w:p>
              </w:tc>
              <w:tc>
                <w:tcPr>
                  <w:tcW w:w="1449" w:type="dxa"/>
                  <w:vAlign w:val="center"/>
                </w:tcPr>
                <w:p>
                  <w:pPr>
                    <w:jc w:val="center"/>
                    <w:rPr>
                      <w:color w:val="000000"/>
                      <w:sz w:val="21"/>
                      <w:szCs w:val="21"/>
                    </w:rPr>
                  </w:pPr>
                  <w:r>
                    <w:rPr>
                      <w:sz w:val="21"/>
                      <w:szCs w:val="21"/>
                    </w:rPr>
                    <w:t>800.0</w:t>
                  </w:r>
                </w:p>
              </w:tc>
              <w:tc>
                <w:tcPr>
                  <w:tcW w:w="1278" w:type="dxa"/>
                  <w:vAlign w:val="center"/>
                </w:tcPr>
                <w:p>
                  <w:pPr>
                    <w:jc w:val="center"/>
                    <w:rPr>
                      <w:sz w:val="21"/>
                      <w:szCs w:val="21"/>
                    </w:rPr>
                  </w:pPr>
                  <w:r>
                    <w:rPr>
                      <w:sz w:val="21"/>
                      <w:szCs w:val="21"/>
                    </w:rPr>
                    <w:t>0.5010</w:t>
                  </w:r>
                </w:p>
              </w:tc>
              <w:tc>
                <w:tcPr>
                  <w:tcW w:w="1537" w:type="dxa"/>
                  <w:vAlign w:val="center"/>
                </w:tcPr>
                <w:p>
                  <w:pPr>
                    <w:jc w:val="center"/>
                    <w:rPr>
                      <w:sz w:val="21"/>
                      <w:szCs w:val="21"/>
                    </w:rPr>
                  </w:pPr>
                  <w:r>
                    <w:rPr>
                      <w:sz w:val="21"/>
                      <w:szCs w:val="21"/>
                    </w:rPr>
                    <w:t>0.2505</w:t>
                  </w:r>
                </w:p>
              </w:tc>
              <w:tc>
                <w:tcPr>
                  <w:tcW w:w="1327" w:type="dxa"/>
                  <w:vAlign w:val="center"/>
                </w:tcPr>
                <w:p>
                  <w:pPr>
                    <w:jc w:val="center"/>
                    <w:rPr>
                      <w:sz w:val="21"/>
                      <w:szCs w:val="21"/>
                    </w:rPr>
                  </w:pPr>
                  <w:r>
                    <w:rPr>
                      <w:sz w:val="21"/>
                      <w:szCs w:val="21"/>
                    </w:rPr>
                    <w:t>0.0016</w:t>
                  </w:r>
                </w:p>
              </w:tc>
              <w:tc>
                <w:tcPr>
                  <w:tcW w:w="1756" w:type="dxa"/>
                  <w:vAlign w:val="center"/>
                </w:tcPr>
                <w:p>
                  <w:pPr>
                    <w:jc w:val="center"/>
                    <w:rPr>
                      <w:sz w:val="21"/>
                      <w:szCs w:val="21"/>
                    </w:rPr>
                  </w:pPr>
                  <w:r>
                    <w:rPr>
                      <w:sz w:val="21"/>
                      <w:szCs w:val="21"/>
                    </w:rPr>
                    <w:t>0.0159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12</w:t>
                  </w:r>
                </w:p>
              </w:tc>
              <w:tc>
                <w:tcPr>
                  <w:tcW w:w="1449" w:type="dxa"/>
                  <w:vAlign w:val="center"/>
                </w:tcPr>
                <w:p>
                  <w:pPr>
                    <w:jc w:val="center"/>
                    <w:rPr>
                      <w:color w:val="000000"/>
                      <w:sz w:val="21"/>
                      <w:szCs w:val="21"/>
                    </w:rPr>
                  </w:pPr>
                  <w:r>
                    <w:rPr>
                      <w:sz w:val="21"/>
                      <w:szCs w:val="21"/>
                    </w:rPr>
                    <w:t>900.0</w:t>
                  </w:r>
                </w:p>
              </w:tc>
              <w:tc>
                <w:tcPr>
                  <w:tcW w:w="1278" w:type="dxa"/>
                  <w:vAlign w:val="center"/>
                </w:tcPr>
                <w:p>
                  <w:pPr>
                    <w:jc w:val="center"/>
                    <w:rPr>
                      <w:sz w:val="21"/>
                      <w:szCs w:val="21"/>
                    </w:rPr>
                  </w:pPr>
                  <w:r>
                    <w:rPr>
                      <w:sz w:val="21"/>
                      <w:szCs w:val="21"/>
                    </w:rPr>
                    <w:t>0.4797</w:t>
                  </w:r>
                </w:p>
              </w:tc>
              <w:tc>
                <w:tcPr>
                  <w:tcW w:w="1537" w:type="dxa"/>
                  <w:vAlign w:val="center"/>
                </w:tcPr>
                <w:p>
                  <w:pPr>
                    <w:jc w:val="center"/>
                    <w:rPr>
                      <w:sz w:val="21"/>
                      <w:szCs w:val="21"/>
                    </w:rPr>
                  </w:pPr>
                  <w:r>
                    <w:rPr>
                      <w:sz w:val="21"/>
                      <w:szCs w:val="21"/>
                    </w:rPr>
                    <w:t>0.2398</w:t>
                  </w:r>
                </w:p>
              </w:tc>
              <w:tc>
                <w:tcPr>
                  <w:tcW w:w="1327" w:type="dxa"/>
                  <w:vAlign w:val="center"/>
                </w:tcPr>
                <w:p>
                  <w:pPr>
                    <w:jc w:val="center"/>
                    <w:rPr>
                      <w:sz w:val="21"/>
                      <w:szCs w:val="21"/>
                    </w:rPr>
                  </w:pPr>
                  <w:r>
                    <w:rPr>
                      <w:sz w:val="21"/>
                      <w:szCs w:val="21"/>
                    </w:rPr>
                    <w:t>0.0015</w:t>
                  </w:r>
                </w:p>
              </w:tc>
              <w:tc>
                <w:tcPr>
                  <w:tcW w:w="1756" w:type="dxa"/>
                  <w:vAlign w:val="center"/>
                </w:tcPr>
                <w:p>
                  <w:pPr>
                    <w:jc w:val="center"/>
                    <w:rPr>
                      <w:sz w:val="21"/>
                      <w:szCs w:val="21"/>
                    </w:rPr>
                  </w:pPr>
                  <w:r>
                    <w:rPr>
                      <w:sz w:val="21"/>
                      <w:szCs w:val="21"/>
                    </w:rPr>
                    <w:t>0.0152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13</w:t>
                  </w:r>
                </w:p>
              </w:tc>
              <w:tc>
                <w:tcPr>
                  <w:tcW w:w="1449" w:type="dxa"/>
                  <w:vAlign w:val="center"/>
                </w:tcPr>
                <w:p>
                  <w:pPr>
                    <w:jc w:val="center"/>
                    <w:rPr>
                      <w:color w:val="000000"/>
                      <w:sz w:val="21"/>
                      <w:szCs w:val="21"/>
                    </w:rPr>
                  </w:pPr>
                  <w:r>
                    <w:rPr>
                      <w:sz w:val="21"/>
                      <w:szCs w:val="21"/>
                    </w:rPr>
                    <w:t>1000.0</w:t>
                  </w:r>
                </w:p>
              </w:tc>
              <w:tc>
                <w:tcPr>
                  <w:tcW w:w="1278" w:type="dxa"/>
                  <w:vAlign w:val="center"/>
                </w:tcPr>
                <w:p>
                  <w:pPr>
                    <w:jc w:val="center"/>
                    <w:rPr>
                      <w:sz w:val="21"/>
                      <w:szCs w:val="21"/>
                    </w:rPr>
                  </w:pPr>
                  <w:r>
                    <w:rPr>
                      <w:sz w:val="21"/>
                      <w:szCs w:val="21"/>
                    </w:rPr>
                    <w:t>0.4601</w:t>
                  </w:r>
                </w:p>
              </w:tc>
              <w:tc>
                <w:tcPr>
                  <w:tcW w:w="1537" w:type="dxa"/>
                  <w:vAlign w:val="center"/>
                </w:tcPr>
                <w:p>
                  <w:pPr>
                    <w:jc w:val="center"/>
                    <w:rPr>
                      <w:sz w:val="21"/>
                      <w:szCs w:val="21"/>
                    </w:rPr>
                  </w:pPr>
                  <w:r>
                    <w:rPr>
                      <w:sz w:val="21"/>
                      <w:szCs w:val="21"/>
                    </w:rPr>
                    <w:t>0.2300</w:t>
                  </w:r>
                </w:p>
              </w:tc>
              <w:tc>
                <w:tcPr>
                  <w:tcW w:w="1327" w:type="dxa"/>
                  <w:vAlign w:val="center"/>
                </w:tcPr>
                <w:p>
                  <w:pPr>
                    <w:jc w:val="center"/>
                    <w:rPr>
                      <w:sz w:val="21"/>
                      <w:szCs w:val="21"/>
                    </w:rPr>
                  </w:pPr>
                  <w:r>
                    <w:rPr>
                      <w:sz w:val="21"/>
                      <w:szCs w:val="21"/>
                    </w:rPr>
                    <w:t>0.0015</w:t>
                  </w:r>
                </w:p>
              </w:tc>
              <w:tc>
                <w:tcPr>
                  <w:tcW w:w="1756" w:type="dxa"/>
                  <w:vAlign w:val="center"/>
                </w:tcPr>
                <w:p>
                  <w:pPr>
                    <w:jc w:val="center"/>
                    <w:rPr>
                      <w:sz w:val="21"/>
                      <w:szCs w:val="21"/>
                    </w:rPr>
                  </w:pPr>
                  <w:r>
                    <w:rPr>
                      <w:sz w:val="21"/>
                      <w:szCs w:val="21"/>
                    </w:rPr>
                    <w:t>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14</w:t>
                  </w:r>
                </w:p>
              </w:tc>
              <w:tc>
                <w:tcPr>
                  <w:tcW w:w="1449" w:type="dxa"/>
                  <w:vAlign w:val="center"/>
                </w:tcPr>
                <w:p>
                  <w:pPr>
                    <w:jc w:val="center"/>
                    <w:rPr>
                      <w:color w:val="000000"/>
                      <w:sz w:val="21"/>
                      <w:szCs w:val="21"/>
                    </w:rPr>
                  </w:pPr>
                  <w:r>
                    <w:rPr>
                      <w:sz w:val="21"/>
                      <w:szCs w:val="21"/>
                    </w:rPr>
                    <w:t>1200.0</w:t>
                  </w:r>
                </w:p>
              </w:tc>
              <w:tc>
                <w:tcPr>
                  <w:tcW w:w="1278" w:type="dxa"/>
                  <w:vAlign w:val="center"/>
                </w:tcPr>
                <w:p>
                  <w:pPr>
                    <w:jc w:val="center"/>
                    <w:rPr>
                      <w:sz w:val="21"/>
                      <w:szCs w:val="21"/>
                    </w:rPr>
                  </w:pPr>
                  <w:r>
                    <w:rPr>
                      <w:sz w:val="21"/>
                      <w:szCs w:val="21"/>
                    </w:rPr>
                    <w:t>0.4256</w:t>
                  </w:r>
                </w:p>
              </w:tc>
              <w:tc>
                <w:tcPr>
                  <w:tcW w:w="1537" w:type="dxa"/>
                  <w:vAlign w:val="center"/>
                </w:tcPr>
                <w:p>
                  <w:pPr>
                    <w:jc w:val="center"/>
                    <w:rPr>
                      <w:sz w:val="21"/>
                      <w:szCs w:val="21"/>
                    </w:rPr>
                  </w:pPr>
                  <w:r>
                    <w:rPr>
                      <w:sz w:val="21"/>
                      <w:szCs w:val="21"/>
                    </w:rPr>
                    <w:t>0.2128</w:t>
                  </w:r>
                </w:p>
              </w:tc>
              <w:tc>
                <w:tcPr>
                  <w:tcW w:w="1327" w:type="dxa"/>
                  <w:vAlign w:val="center"/>
                </w:tcPr>
                <w:p>
                  <w:pPr>
                    <w:jc w:val="center"/>
                    <w:rPr>
                      <w:sz w:val="21"/>
                      <w:szCs w:val="21"/>
                    </w:rPr>
                  </w:pPr>
                  <w:r>
                    <w:rPr>
                      <w:sz w:val="21"/>
                      <w:szCs w:val="21"/>
                    </w:rPr>
                    <w:t>0.0014</w:t>
                  </w:r>
                </w:p>
              </w:tc>
              <w:tc>
                <w:tcPr>
                  <w:tcW w:w="1756" w:type="dxa"/>
                  <w:vAlign w:val="center"/>
                </w:tcPr>
                <w:p>
                  <w:pPr>
                    <w:jc w:val="center"/>
                    <w:rPr>
                      <w:sz w:val="21"/>
                      <w:szCs w:val="21"/>
                    </w:rPr>
                  </w:pPr>
                  <w:r>
                    <w:rPr>
                      <w:sz w:val="21"/>
                      <w:szCs w:val="21"/>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15</w:t>
                  </w:r>
                </w:p>
              </w:tc>
              <w:tc>
                <w:tcPr>
                  <w:tcW w:w="1449" w:type="dxa"/>
                  <w:vAlign w:val="center"/>
                </w:tcPr>
                <w:p>
                  <w:pPr>
                    <w:jc w:val="center"/>
                    <w:rPr>
                      <w:color w:val="000000"/>
                      <w:sz w:val="21"/>
                      <w:szCs w:val="21"/>
                    </w:rPr>
                  </w:pPr>
                  <w:r>
                    <w:rPr>
                      <w:sz w:val="21"/>
                      <w:szCs w:val="21"/>
                    </w:rPr>
                    <w:t>1300.0</w:t>
                  </w:r>
                </w:p>
              </w:tc>
              <w:tc>
                <w:tcPr>
                  <w:tcW w:w="1278" w:type="dxa"/>
                  <w:vAlign w:val="center"/>
                </w:tcPr>
                <w:p>
                  <w:pPr>
                    <w:jc w:val="center"/>
                    <w:rPr>
                      <w:sz w:val="21"/>
                      <w:szCs w:val="21"/>
                    </w:rPr>
                  </w:pPr>
                  <w:r>
                    <w:rPr>
                      <w:sz w:val="21"/>
                      <w:szCs w:val="21"/>
                    </w:rPr>
                    <w:t>0.4138</w:t>
                  </w:r>
                </w:p>
              </w:tc>
              <w:tc>
                <w:tcPr>
                  <w:tcW w:w="1537" w:type="dxa"/>
                  <w:vAlign w:val="center"/>
                </w:tcPr>
                <w:p>
                  <w:pPr>
                    <w:jc w:val="center"/>
                    <w:rPr>
                      <w:sz w:val="21"/>
                      <w:szCs w:val="21"/>
                    </w:rPr>
                  </w:pPr>
                  <w:r>
                    <w:rPr>
                      <w:sz w:val="21"/>
                      <w:szCs w:val="21"/>
                    </w:rPr>
                    <w:t>0.2069</w:t>
                  </w:r>
                </w:p>
              </w:tc>
              <w:tc>
                <w:tcPr>
                  <w:tcW w:w="1327" w:type="dxa"/>
                  <w:vAlign w:val="center"/>
                </w:tcPr>
                <w:p>
                  <w:pPr>
                    <w:jc w:val="center"/>
                    <w:rPr>
                      <w:sz w:val="21"/>
                      <w:szCs w:val="21"/>
                    </w:rPr>
                  </w:pPr>
                  <w:r>
                    <w:rPr>
                      <w:sz w:val="21"/>
                      <w:szCs w:val="21"/>
                    </w:rPr>
                    <w:t>0.0013</w:t>
                  </w:r>
                </w:p>
              </w:tc>
              <w:tc>
                <w:tcPr>
                  <w:tcW w:w="1756" w:type="dxa"/>
                  <w:vAlign w:val="center"/>
                </w:tcPr>
                <w:p>
                  <w:pPr>
                    <w:jc w:val="center"/>
                    <w:rPr>
                      <w:sz w:val="21"/>
                      <w:szCs w:val="21"/>
                    </w:rPr>
                  </w:pPr>
                  <w:r>
                    <w:rPr>
                      <w:sz w:val="21"/>
                      <w:szCs w:val="21"/>
                    </w:rPr>
                    <w:t>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16</w:t>
                  </w:r>
                </w:p>
              </w:tc>
              <w:tc>
                <w:tcPr>
                  <w:tcW w:w="1449" w:type="dxa"/>
                  <w:vAlign w:val="center"/>
                </w:tcPr>
                <w:p>
                  <w:pPr>
                    <w:jc w:val="center"/>
                    <w:rPr>
                      <w:color w:val="000000"/>
                      <w:sz w:val="21"/>
                      <w:szCs w:val="21"/>
                    </w:rPr>
                  </w:pPr>
                  <w:r>
                    <w:rPr>
                      <w:sz w:val="21"/>
                      <w:szCs w:val="21"/>
                    </w:rPr>
                    <w:t>1400.0</w:t>
                  </w:r>
                </w:p>
              </w:tc>
              <w:tc>
                <w:tcPr>
                  <w:tcW w:w="1278" w:type="dxa"/>
                  <w:vAlign w:val="center"/>
                </w:tcPr>
                <w:p>
                  <w:pPr>
                    <w:jc w:val="center"/>
                    <w:rPr>
                      <w:sz w:val="21"/>
                      <w:szCs w:val="21"/>
                    </w:rPr>
                  </w:pPr>
                  <w:r>
                    <w:rPr>
                      <w:sz w:val="21"/>
                      <w:szCs w:val="21"/>
                    </w:rPr>
                    <w:t>0.3990</w:t>
                  </w:r>
                </w:p>
              </w:tc>
              <w:tc>
                <w:tcPr>
                  <w:tcW w:w="1537" w:type="dxa"/>
                  <w:vAlign w:val="center"/>
                </w:tcPr>
                <w:p>
                  <w:pPr>
                    <w:jc w:val="center"/>
                    <w:rPr>
                      <w:sz w:val="21"/>
                      <w:szCs w:val="21"/>
                    </w:rPr>
                  </w:pPr>
                  <w:r>
                    <w:rPr>
                      <w:sz w:val="21"/>
                      <w:szCs w:val="21"/>
                    </w:rPr>
                    <w:t>0.1995</w:t>
                  </w:r>
                </w:p>
              </w:tc>
              <w:tc>
                <w:tcPr>
                  <w:tcW w:w="1327" w:type="dxa"/>
                  <w:vAlign w:val="center"/>
                </w:tcPr>
                <w:p>
                  <w:pPr>
                    <w:jc w:val="center"/>
                    <w:rPr>
                      <w:sz w:val="21"/>
                      <w:szCs w:val="21"/>
                    </w:rPr>
                  </w:pPr>
                  <w:r>
                    <w:rPr>
                      <w:sz w:val="21"/>
                      <w:szCs w:val="21"/>
                    </w:rPr>
                    <w:t>0.0013</w:t>
                  </w:r>
                </w:p>
              </w:tc>
              <w:tc>
                <w:tcPr>
                  <w:tcW w:w="1756" w:type="dxa"/>
                  <w:vAlign w:val="center"/>
                </w:tcPr>
                <w:p>
                  <w:pPr>
                    <w:jc w:val="center"/>
                    <w:rPr>
                      <w:sz w:val="21"/>
                      <w:szCs w:val="21"/>
                    </w:rPr>
                  </w:pPr>
                  <w:r>
                    <w:rPr>
                      <w:sz w:val="21"/>
                      <w:szCs w:val="21"/>
                    </w:rPr>
                    <w:t>0.0127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17</w:t>
                  </w:r>
                </w:p>
              </w:tc>
              <w:tc>
                <w:tcPr>
                  <w:tcW w:w="1449" w:type="dxa"/>
                  <w:vAlign w:val="center"/>
                </w:tcPr>
                <w:p>
                  <w:pPr>
                    <w:jc w:val="center"/>
                    <w:rPr>
                      <w:color w:val="000000"/>
                      <w:sz w:val="21"/>
                      <w:szCs w:val="21"/>
                    </w:rPr>
                  </w:pPr>
                  <w:r>
                    <w:rPr>
                      <w:sz w:val="21"/>
                      <w:szCs w:val="21"/>
                    </w:rPr>
                    <w:t>1500.0</w:t>
                  </w:r>
                </w:p>
              </w:tc>
              <w:tc>
                <w:tcPr>
                  <w:tcW w:w="1278" w:type="dxa"/>
                  <w:vAlign w:val="center"/>
                </w:tcPr>
                <w:p>
                  <w:pPr>
                    <w:jc w:val="center"/>
                    <w:rPr>
                      <w:sz w:val="21"/>
                      <w:szCs w:val="21"/>
                    </w:rPr>
                  </w:pPr>
                  <w:r>
                    <w:rPr>
                      <w:sz w:val="21"/>
                      <w:szCs w:val="21"/>
                    </w:rPr>
                    <w:t>0.3850</w:t>
                  </w:r>
                </w:p>
              </w:tc>
              <w:tc>
                <w:tcPr>
                  <w:tcW w:w="1537" w:type="dxa"/>
                  <w:vAlign w:val="center"/>
                </w:tcPr>
                <w:p>
                  <w:pPr>
                    <w:jc w:val="center"/>
                    <w:rPr>
                      <w:sz w:val="21"/>
                      <w:szCs w:val="21"/>
                    </w:rPr>
                  </w:pPr>
                  <w:r>
                    <w:rPr>
                      <w:sz w:val="21"/>
                      <w:szCs w:val="21"/>
                    </w:rPr>
                    <w:t>0.1925</w:t>
                  </w:r>
                </w:p>
              </w:tc>
              <w:tc>
                <w:tcPr>
                  <w:tcW w:w="1327" w:type="dxa"/>
                  <w:vAlign w:val="center"/>
                </w:tcPr>
                <w:p>
                  <w:pPr>
                    <w:jc w:val="center"/>
                    <w:rPr>
                      <w:sz w:val="21"/>
                      <w:szCs w:val="21"/>
                    </w:rPr>
                  </w:pPr>
                  <w:r>
                    <w:rPr>
                      <w:sz w:val="21"/>
                      <w:szCs w:val="21"/>
                    </w:rPr>
                    <w:t>0.0012</w:t>
                  </w:r>
                </w:p>
              </w:tc>
              <w:tc>
                <w:tcPr>
                  <w:tcW w:w="1756" w:type="dxa"/>
                  <w:vAlign w:val="center"/>
                </w:tcPr>
                <w:p>
                  <w:pPr>
                    <w:jc w:val="center"/>
                    <w:rPr>
                      <w:sz w:val="21"/>
                      <w:szCs w:val="21"/>
                    </w:rPr>
                  </w:pPr>
                  <w:r>
                    <w:rPr>
                      <w:sz w:val="21"/>
                      <w:szCs w:val="21"/>
                    </w:rPr>
                    <w:t>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18</w:t>
                  </w:r>
                </w:p>
              </w:tc>
              <w:tc>
                <w:tcPr>
                  <w:tcW w:w="1449" w:type="dxa"/>
                  <w:vAlign w:val="center"/>
                </w:tcPr>
                <w:p>
                  <w:pPr>
                    <w:jc w:val="center"/>
                    <w:rPr>
                      <w:color w:val="000000"/>
                      <w:sz w:val="21"/>
                      <w:szCs w:val="21"/>
                    </w:rPr>
                  </w:pPr>
                  <w:r>
                    <w:rPr>
                      <w:sz w:val="21"/>
                      <w:szCs w:val="21"/>
                    </w:rPr>
                    <w:t>1600.0</w:t>
                  </w:r>
                </w:p>
              </w:tc>
              <w:tc>
                <w:tcPr>
                  <w:tcW w:w="1278" w:type="dxa"/>
                  <w:vAlign w:val="center"/>
                </w:tcPr>
                <w:p>
                  <w:pPr>
                    <w:jc w:val="center"/>
                    <w:rPr>
                      <w:sz w:val="21"/>
                      <w:szCs w:val="21"/>
                    </w:rPr>
                  </w:pPr>
                  <w:r>
                    <w:rPr>
                      <w:sz w:val="21"/>
                      <w:szCs w:val="21"/>
                    </w:rPr>
                    <w:t>0.3720</w:t>
                  </w:r>
                </w:p>
              </w:tc>
              <w:tc>
                <w:tcPr>
                  <w:tcW w:w="1537" w:type="dxa"/>
                  <w:vAlign w:val="center"/>
                </w:tcPr>
                <w:p>
                  <w:pPr>
                    <w:jc w:val="center"/>
                    <w:rPr>
                      <w:sz w:val="21"/>
                      <w:szCs w:val="21"/>
                    </w:rPr>
                  </w:pPr>
                  <w:r>
                    <w:rPr>
                      <w:sz w:val="21"/>
                      <w:szCs w:val="21"/>
                    </w:rPr>
                    <w:t>0.1860</w:t>
                  </w:r>
                </w:p>
              </w:tc>
              <w:tc>
                <w:tcPr>
                  <w:tcW w:w="1327" w:type="dxa"/>
                  <w:vAlign w:val="center"/>
                </w:tcPr>
                <w:p>
                  <w:pPr>
                    <w:jc w:val="center"/>
                    <w:rPr>
                      <w:sz w:val="21"/>
                      <w:szCs w:val="21"/>
                    </w:rPr>
                  </w:pPr>
                  <w:r>
                    <w:rPr>
                      <w:sz w:val="21"/>
                      <w:szCs w:val="21"/>
                    </w:rPr>
                    <w:t>0.0012</w:t>
                  </w:r>
                </w:p>
              </w:tc>
              <w:tc>
                <w:tcPr>
                  <w:tcW w:w="1756" w:type="dxa"/>
                  <w:vAlign w:val="center"/>
                </w:tcPr>
                <w:p>
                  <w:pPr>
                    <w:jc w:val="center"/>
                    <w:rPr>
                      <w:sz w:val="21"/>
                      <w:szCs w:val="21"/>
                    </w:rPr>
                  </w:pPr>
                  <w:r>
                    <w:rPr>
                      <w:sz w:val="21"/>
                      <w:szCs w:val="21"/>
                    </w:rPr>
                    <w:t>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19</w:t>
                  </w:r>
                </w:p>
              </w:tc>
              <w:tc>
                <w:tcPr>
                  <w:tcW w:w="1449" w:type="dxa"/>
                  <w:vAlign w:val="center"/>
                </w:tcPr>
                <w:p>
                  <w:pPr>
                    <w:jc w:val="center"/>
                    <w:rPr>
                      <w:color w:val="000000"/>
                      <w:sz w:val="21"/>
                      <w:szCs w:val="21"/>
                    </w:rPr>
                  </w:pPr>
                  <w:r>
                    <w:rPr>
                      <w:sz w:val="21"/>
                      <w:szCs w:val="21"/>
                    </w:rPr>
                    <w:t>1700.0</w:t>
                  </w:r>
                </w:p>
              </w:tc>
              <w:tc>
                <w:tcPr>
                  <w:tcW w:w="1278" w:type="dxa"/>
                  <w:vAlign w:val="center"/>
                </w:tcPr>
                <w:p>
                  <w:pPr>
                    <w:jc w:val="center"/>
                    <w:rPr>
                      <w:sz w:val="21"/>
                      <w:szCs w:val="21"/>
                    </w:rPr>
                  </w:pPr>
                  <w:r>
                    <w:rPr>
                      <w:sz w:val="21"/>
                      <w:szCs w:val="21"/>
                    </w:rPr>
                    <w:t>0.3597</w:t>
                  </w:r>
                </w:p>
              </w:tc>
              <w:tc>
                <w:tcPr>
                  <w:tcW w:w="1537" w:type="dxa"/>
                  <w:vAlign w:val="center"/>
                </w:tcPr>
                <w:p>
                  <w:pPr>
                    <w:jc w:val="center"/>
                    <w:rPr>
                      <w:sz w:val="21"/>
                      <w:szCs w:val="21"/>
                    </w:rPr>
                  </w:pPr>
                  <w:r>
                    <w:rPr>
                      <w:sz w:val="21"/>
                      <w:szCs w:val="21"/>
                    </w:rPr>
                    <w:t>0.1799</w:t>
                  </w:r>
                </w:p>
              </w:tc>
              <w:tc>
                <w:tcPr>
                  <w:tcW w:w="1327" w:type="dxa"/>
                  <w:vAlign w:val="center"/>
                </w:tcPr>
                <w:p>
                  <w:pPr>
                    <w:jc w:val="center"/>
                    <w:rPr>
                      <w:sz w:val="21"/>
                      <w:szCs w:val="21"/>
                    </w:rPr>
                  </w:pPr>
                  <w:r>
                    <w:rPr>
                      <w:sz w:val="21"/>
                      <w:szCs w:val="21"/>
                    </w:rPr>
                    <w:t>0.0011</w:t>
                  </w:r>
                </w:p>
              </w:tc>
              <w:tc>
                <w:tcPr>
                  <w:tcW w:w="1756" w:type="dxa"/>
                  <w:vAlign w:val="center"/>
                </w:tcPr>
                <w:p>
                  <w:pPr>
                    <w:jc w:val="center"/>
                    <w:rPr>
                      <w:sz w:val="21"/>
                      <w:szCs w:val="21"/>
                    </w:rPr>
                  </w:pPr>
                  <w:r>
                    <w:rPr>
                      <w:sz w:val="21"/>
                      <w:szCs w:val="21"/>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20</w:t>
                  </w:r>
                </w:p>
              </w:tc>
              <w:tc>
                <w:tcPr>
                  <w:tcW w:w="1449" w:type="dxa"/>
                  <w:vAlign w:val="center"/>
                </w:tcPr>
                <w:p>
                  <w:pPr>
                    <w:jc w:val="center"/>
                    <w:rPr>
                      <w:color w:val="000000"/>
                      <w:sz w:val="21"/>
                      <w:szCs w:val="21"/>
                    </w:rPr>
                  </w:pPr>
                  <w:r>
                    <w:rPr>
                      <w:sz w:val="21"/>
                      <w:szCs w:val="21"/>
                    </w:rPr>
                    <w:t>1800.0</w:t>
                  </w:r>
                </w:p>
              </w:tc>
              <w:tc>
                <w:tcPr>
                  <w:tcW w:w="1278" w:type="dxa"/>
                  <w:vAlign w:val="center"/>
                </w:tcPr>
                <w:p>
                  <w:pPr>
                    <w:jc w:val="center"/>
                    <w:rPr>
                      <w:sz w:val="21"/>
                      <w:szCs w:val="21"/>
                    </w:rPr>
                  </w:pPr>
                  <w:r>
                    <w:rPr>
                      <w:sz w:val="21"/>
                      <w:szCs w:val="21"/>
                    </w:rPr>
                    <w:t>0.3482</w:t>
                  </w:r>
                </w:p>
              </w:tc>
              <w:tc>
                <w:tcPr>
                  <w:tcW w:w="1537" w:type="dxa"/>
                  <w:vAlign w:val="center"/>
                </w:tcPr>
                <w:p>
                  <w:pPr>
                    <w:jc w:val="center"/>
                    <w:rPr>
                      <w:sz w:val="21"/>
                      <w:szCs w:val="21"/>
                    </w:rPr>
                  </w:pPr>
                  <w:r>
                    <w:rPr>
                      <w:sz w:val="21"/>
                      <w:szCs w:val="21"/>
                    </w:rPr>
                    <w:t>0.1741</w:t>
                  </w:r>
                </w:p>
              </w:tc>
              <w:tc>
                <w:tcPr>
                  <w:tcW w:w="1327" w:type="dxa"/>
                  <w:vAlign w:val="center"/>
                </w:tcPr>
                <w:p>
                  <w:pPr>
                    <w:jc w:val="center"/>
                    <w:rPr>
                      <w:sz w:val="21"/>
                      <w:szCs w:val="21"/>
                    </w:rPr>
                  </w:pPr>
                  <w:r>
                    <w:rPr>
                      <w:sz w:val="21"/>
                      <w:szCs w:val="21"/>
                    </w:rPr>
                    <w:t>0.0011</w:t>
                  </w:r>
                </w:p>
              </w:tc>
              <w:tc>
                <w:tcPr>
                  <w:tcW w:w="1756" w:type="dxa"/>
                  <w:vAlign w:val="center"/>
                </w:tcPr>
                <w:p>
                  <w:pPr>
                    <w:jc w:val="center"/>
                    <w:rPr>
                      <w:sz w:val="21"/>
                      <w:szCs w:val="21"/>
                    </w:rPr>
                  </w:pPr>
                  <w:r>
                    <w:rPr>
                      <w:sz w:val="21"/>
                      <w:szCs w:val="21"/>
                    </w:rPr>
                    <w:t>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21</w:t>
                  </w:r>
                </w:p>
              </w:tc>
              <w:tc>
                <w:tcPr>
                  <w:tcW w:w="1449" w:type="dxa"/>
                  <w:vAlign w:val="center"/>
                </w:tcPr>
                <w:p>
                  <w:pPr>
                    <w:jc w:val="center"/>
                    <w:rPr>
                      <w:color w:val="000000"/>
                      <w:sz w:val="21"/>
                      <w:szCs w:val="21"/>
                    </w:rPr>
                  </w:pPr>
                  <w:r>
                    <w:rPr>
                      <w:sz w:val="21"/>
                      <w:szCs w:val="21"/>
                    </w:rPr>
                    <w:t>1900.0</w:t>
                  </w:r>
                </w:p>
              </w:tc>
              <w:tc>
                <w:tcPr>
                  <w:tcW w:w="1278" w:type="dxa"/>
                  <w:vAlign w:val="center"/>
                </w:tcPr>
                <w:p>
                  <w:pPr>
                    <w:jc w:val="center"/>
                    <w:rPr>
                      <w:sz w:val="21"/>
                      <w:szCs w:val="21"/>
                    </w:rPr>
                  </w:pPr>
                  <w:r>
                    <w:rPr>
                      <w:sz w:val="21"/>
                      <w:szCs w:val="21"/>
                    </w:rPr>
                    <w:t>0.3373</w:t>
                  </w:r>
                </w:p>
              </w:tc>
              <w:tc>
                <w:tcPr>
                  <w:tcW w:w="1537" w:type="dxa"/>
                  <w:vAlign w:val="center"/>
                </w:tcPr>
                <w:p>
                  <w:pPr>
                    <w:jc w:val="center"/>
                    <w:rPr>
                      <w:sz w:val="21"/>
                      <w:szCs w:val="21"/>
                    </w:rPr>
                  </w:pPr>
                  <w:r>
                    <w:rPr>
                      <w:sz w:val="21"/>
                      <w:szCs w:val="21"/>
                    </w:rPr>
                    <w:t>0.1686</w:t>
                  </w:r>
                </w:p>
              </w:tc>
              <w:tc>
                <w:tcPr>
                  <w:tcW w:w="1327" w:type="dxa"/>
                  <w:vAlign w:val="center"/>
                </w:tcPr>
                <w:p>
                  <w:pPr>
                    <w:jc w:val="center"/>
                    <w:rPr>
                      <w:sz w:val="21"/>
                      <w:szCs w:val="21"/>
                    </w:rPr>
                  </w:pPr>
                  <w:r>
                    <w:rPr>
                      <w:sz w:val="21"/>
                      <w:szCs w:val="21"/>
                    </w:rPr>
                    <w:t>0.0011</w:t>
                  </w:r>
                </w:p>
              </w:tc>
              <w:tc>
                <w:tcPr>
                  <w:tcW w:w="1756" w:type="dxa"/>
                  <w:vAlign w:val="center"/>
                </w:tcPr>
                <w:p>
                  <w:pPr>
                    <w:jc w:val="center"/>
                    <w:rPr>
                      <w:sz w:val="21"/>
                      <w:szCs w:val="21"/>
                    </w:rPr>
                  </w:pPr>
                  <w:r>
                    <w:rPr>
                      <w:sz w:val="21"/>
                      <w:szCs w:val="21"/>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22</w:t>
                  </w:r>
                </w:p>
              </w:tc>
              <w:tc>
                <w:tcPr>
                  <w:tcW w:w="1449" w:type="dxa"/>
                  <w:vAlign w:val="center"/>
                </w:tcPr>
                <w:p>
                  <w:pPr>
                    <w:jc w:val="center"/>
                    <w:rPr>
                      <w:color w:val="000000"/>
                      <w:sz w:val="21"/>
                      <w:szCs w:val="21"/>
                    </w:rPr>
                  </w:pPr>
                  <w:r>
                    <w:rPr>
                      <w:sz w:val="21"/>
                      <w:szCs w:val="21"/>
                    </w:rPr>
                    <w:t>2000.0</w:t>
                  </w:r>
                </w:p>
              </w:tc>
              <w:tc>
                <w:tcPr>
                  <w:tcW w:w="1278" w:type="dxa"/>
                  <w:vAlign w:val="center"/>
                </w:tcPr>
                <w:p>
                  <w:pPr>
                    <w:jc w:val="center"/>
                    <w:rPr>
                      <w:sz w:val="21"/>
                      <w:szCs w:val="21"/>
                    </w:rPr>
                  </w:pPr>
                  <w:r>
                    <w:rPr>
                      <w:sz w:val="21"/>
                      <w:szCs w:val="21"/>
                    </w:rPr>
                    <w:t>0.3270</w:t>
                  </w:r>
                </w:p>
              </w:tc>
              <w:tc>
                <w:tcPr>
                  <w:tcW w:w="1537" w:type="dxa"/>
                  <w:vAlign w:val="center"/>
                </w:tcPr>
                <w:p>
                  <w:pPr>
                    <w:jc w:val="center"/>
                    <w:rPr>
                      <w:sz w:val="21"/>
                      <w:szCs w:val="21"/>
                    </w:rPr>
                  </w:pPr>
                  <w:r>
                    <w:rPr>
                      <w:sz w:val="21"/>
                      <w:szCs w:val="21"/>
                    </w:rPr>
                    <w:t>0.1635</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23</w:t>
                  </w:r>
                </w:p>
              </w:tc>
              <w:tc>
                <w:tcPr>
                  <w:tcW w:w="1449" w:type="dxa"/>
                  <w:vAlign w:val="center"/>
                </w:tcPr>
                <w:p>
                  <w:pPr>
                    <w:jc w:val="center"/>
                    <w:rPr>
                      <w:color w:val="000000"/>
                      <w:sz w:val="21"/>
                      <w:szCs w:val="21"/>
                    </w:rPr>
                  </w:pPr>
                  <w:r>
                    <w:rPr>
                      <w:sz w:val="21"/>
                      <w:szCs w:val="21"/>
                    </w:rPr>
                    <w:t>2100.0</w:t>
                  </w:r>
                </w:p>
              </w:tc>
              <w:tc>
                <w:tcPr>
                  <w:tcW w:w="1278" w:type="dxa"/>
                  <w:vAlign w:val="center"/>
                </w:tcPr>
                <w:p>
                  <w:pPr>
                    <w:jc w:val="center"/>
                    <w:rPr>
                      <w:sz w:val="21"/>
                      <w:szCs w:val="21"/>
                    </w:rPr>
                  </w:pPr>
                  <w:r>
                    <w:rPr>
                      <w:sz w:val="21"/>
                      <w:szCs w:val="21"/>
                    </w:rPr>
                    <w:t>0.3173</w:t>
                  </w:r>
                </w:p>
              </w:tc>
              <w:tc>
                <w:tcPr>
                  <w:tcW w:w="1537" w:type="dxa"/>
                  <w:vAlign w:val="center"/>
                </w:tcPr>
                <w:p>
                  <w:pPr>
                    <w:jc w:val="center"/>
                    <w:rPr>
                      <w:sz w:val="21"/>
                      <w:szCs w:val="21"/>
                    </w:rPr>
                  </w:pPr>
                  <w:r>
                    <w:rPr>
                      <w:sz w:val="21"/>
                      <w:szCs w:val="21"/>
                    </w:rPr>
                    <w:t>0.1586</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24</w:t>
                  </w:r>
                </w:p>
              </w:tc>
              <w:tc>
                <w:tcPr>
                  <w:tcW w:w="1449" w:type="dxa"/>
                  <w:vAlign w:val="center"/>
                </w:tcPr>
                <w:p>
                  <w:pPr>
                    <w:jc w:val="center"/>
                    <w:rPr>
                      <w:color w:val="000000"/>
                      <w:sz w:val="21"/>
                      <w:szCs w:val="21"/>
                    </w:rPr>
                  </w:pPr>
                  <w:r>
                    <w:rPr>
                      <w:sz w:val="21"/>
                      <w:szCs w:val="21"/>
                    </w:rPr>
                    <w:t>2200.0</w:t>
                  </w:r>
                </w:p>
              </w:tc>
              <w:tc>
                <w:tcPr>
                  <w:tcW w:w="1278" w:type="dxa"/>
                  <w:vAlign w:val="center"/>
                </w:tcPr>
                <w:p>
                  <w:pPr>
                    <w:jc w:val="center"/>
                    <w:rPr>
                      <w:sz w:val="21"/>
                      <w:szCs w:val="21"/>
                    </w:rPr>
                  </w:pPr>
                  <w:r>
                    <w:rPr>
                      <w:sz w:val="21"/>
                      <w:szCs w:val="21"/>
                    </w:rPr>
                    <w:t>0.3080</w:t>
                  </w:r>
                </w:p>
              </w:tc>
              <w:tc>
                <w:tcPr>
                  <w:tcW w:w="1537" w:type="dxa"/>
                  <w:vAlign w:val="center"/>
                </w:tcPr>
                <w:p>
                  <w:pPr>
                    <w:jc w:val="center"/>
                    <w:rPr>
                      <w:sz w:val="21"/>
                      <w:szCs w:val="21"/>
                    </w:rPr>
                  </w:pPr>
                  <w:r>
                    <w:rPr>
                      <w:sz w:val="21"/>
                      <w:szCs w:val="21"/>
                    </w:rPr>
                    <w:t>0.1540</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25</w:t>
                  </w:r>
                </w:p>
              </w:tc>
              <w:tc>
                <w:tcPr>
                  <w:tcW w:w="1449" w:type="dxa"/>
                  <w:vAlign w:val="center"/>
                </w:tcPr>
                <w:p>
                  <w:pPr>
                    <w:jc w:val="center"/>
                    <w:rPr>
                      <w:color w:val="000000"/>
                      <w:sz w:val="21"/>
                      <w:szCs w:val="21"/>
                    </w:rPr>
                  </w:pPr>
                  <w:r>
                    <w:rPr>
                      <w:sz w:val="21"/>
                      <w:szCs w:val="21"/>
                    </w:rPr>
                    <w:t>2300.0</w:t>
                  </w:r>
                </w:p>
              </w:tc>
              <w:tc>
                <w:tcPr>
                  <w:tcW w:w="1278" w:type="dxa"/>
                  <w:vAlign w:val="center"/>
                </w:tcPr>
                <w:p>
                  <w:pPr>
                    <w:jc w:val="center"/>
                    <w:rPr>
                      <w:sz w:val="21"/>
                      <w:szCs w:val="21"/>
                    </w:rPr>
                  </w:pPr>
                  <w:r>
                    <w:rPr>
                      <w:sz w:val="21"/>
                      <w:szCs w:val="21"/>
                    </w:rPr>
                    <w:t>0.2993</w:t>
                  </w:r>
                </w:p>
              </w:tc>
              <w:tc>
                <w:tcPr>
                  <w:tcW w:w="1537" w:type="dxa"/>
                  <w:vAlign w:val="center"/>
                </w:tcPr>
                <w:p>
                  <w:pPr>
                    <w:jc w:val="center"/>
                    <w:rPr>
                      <w:sz w:val="21"/>
                      <w:szCs w:val="21"/>
                    </w:rPr>
                  </w:pPr>
                  <w:r>
                    <w:rPr>
                      <w:sz w:val="21"/>
                      <w:szCs w:val="21"/>
                    </w:rPr>
                    <w:t>0.1496</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26</w:t>
                  </w:r>
                </w:p>
              </w:tc>
              <w:tc>
                <w:tcPr>
                  <w:tcW w:w="1449" w:type="dxa"/>
                  <w:vAlign w:val="center"/>
                </w:tcPr>
                <w:p>
                  <w:pPr>
                    <w:jc w:val="center"/>
                    <w:rPr>
                      <w:color w:val="000000"/>
                      <w:sz w:val="21"/>
                      <w:szCs w:val="21"/>
                    </w:rPr>
                  </w:pPr>
                  <w:r>
                    <w:rPr>
                      <w:sz w:val="21"/>
                      <w:szCs w:val="21"/>
                    </w:rPr>
                    <w:t>2400.0</w:t>
                  </w:r>
                </w:p>
              </w:tc>
              <w:tc>
                <w:tcPr>
                  <w:tcW w:w="1278" w:type="dxa"/>
                  <w:vAlign w:val="center"/>
                </w:tcPr>
                <w:p>
                  <w:pPr>
                    <w:jc w:val="center"/>
                    <w:rPr>
                      <w:sz w:val="21"/>
                      <w:szCs w:val="21"/>
                    </w:rPr>
                  </w:pPr>
                  <w:r>
                    <w:rPr>
                      <w:sz w:val="21"/>
                      <w:szCs w:val="21"/>
                    </w:rPr>
                    <w:t>0.2909</w:t>
                  </w:r>
                </w:p>
              </w:tc>
              <w:tc>
                <w:tcPr>
                  <w:tcW w:w="1537" w:type="dxa"/>
                  <w:vAlign w:val="center"/>
                </w:tcPr>
                <w:p>
                  <w:pPr>
                    <w:jc w:val="center"/>
                    <w:rPr>
                      <w:sz w:val="21"/>
                      <w:szCs w:val="21"/>
                    </w:rPr>
                  </w:pPr>
                  <w:r>
                    <w:rPr>
                      <w:sz w:val="21"/>
                      <w:szCs w:val="21"/>
                    </w:rPr>
                    <w:t>0.1455</w:t>
                  </w:r>
                </w:p>
              </w:tc>
              <w:tc>
                <w:tcPr>
                  <w:tcW w:w="1327" w:type="dxa"/>
                  <w:vAlign w:val="center"/>
                </w:tcPr>
                <w:p>
                  <w:pPr>
                    <w:jc w:val="center"/>
                    <w:rPr>
                      <w:sz w:val="21"/>
                      <w:szCs w:val="21"/>
                    </w:rPr>
                  </w:pPr>
                  <w:r>
                    <w:rPr>
                      <w:sz w:val="21"/>
                      <w:szCs w:val="21"/>
                    </w:rPr>
                    <w:t>0.0009</w:t>
                  </w:r>
                </w:p>
              </w:tc>
              <w:tc>
                <w:tcPr>
                  <w:tcW w:w="1756" w:type="dxa"/>
                  <w:vAlign w:val="center"/>
                </w:tcPr>
                <w:p>
                  <w:pPr>
                    <w:jc w:val="center"/>
                    <w:rPr>
                      <w:sz w:val="21"/>
                      <w:szCs w:val="21"/>
                    </w:rPr>
                  </w:pPr>
                  <w:r>
                    <w:rPr>
                      <w:sz w:val="21"/>
                      <w:szCs w:val="21"/>
                    </w:rPr>
                    <w:t>0.0092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27</w:t>
                  </w:r>
                </w:p>
              </w:tc>
              <w:tc>
                <w:tcPr>
                  <w:tcW w:w="1449" w:type="dxa"/>
                  <w:vAlign w:val="center"/>
                </w:tcPr>
                <w:p>
                  <w:pPr>
                    <w:jc w:val="center"/>
                    <w:rPr>
                      <w:color w:val="000000"/>
                      <w:sz w:val="21"/>
                      <w:szCs w:val="21"/>
                    </w:rPr>
                  </w:pPr>
                  <w:r>
                    <w:rPr>
                      <w:sz w:val="21"/>
                      <w:szCs w:val="21"/>
                    </w:rPr>
                    <w:t>2500.0</w:t>
                  </w:r>
                </w:p>
              </w:tc>
              <w:tc>
                <w:tcPr>
                  <w:tcW w:w="1278" w:type="dxa"/>
                  <w:vAlign w:val="center"/>
                </w:tcPr>
                <w:p>
                  <w:pPr>
                    <w:jc w:val="center"/>
                    <w:rPr>
                      <w:sz w:val="21"/>
                      <w:szCs w:val="21"/>
                    </w:rPr>
                  </w:pPr>
                  <w:r>
                    <w:rPr>
                      <w:sz w:val="21"/>
                      <w:szCs w:val="21"/>
                    </w:rPr>
                    <w:t>0.2830</w:t>
                  </w:r>
                </w:p>
              </w:tc>
              <w:tc>
                <w:tcPr>
                  <w:tcW w:w="1537" w:type="dxa"/>
                  <w:vAlign w:val="center"/>
                </w:tcPr>
                <w:p>
                  <w:pPr>
                    <w:jc w:val="center"/>
                    <w:rPr>
                      <w:sz w:val="21"/>
                      <w:szCs w:val="21"/>
                    </w:rPr>
                  </w:pPr>
                  <w:r>
                    <w:rPr>
                      <w:sz w:val="21"/>
                      <w:szCs w:val="21"/>
                    </w:rPr>
                    <w:t>0.1415</w:t>
                  </w:r>
                </w:p>
              </w:tc>
              <w:tc>
                <w:tcPr>
                  <w:tcW w:w="1327" w:type="dxa"/>
                  <w:vAlign w:val="center"/>
                </w:tcPr>
                <w:p>
                  <w:pPr>
                    <w:jc w:val="center"/>
                    <w:rPr>
                      <w:sz w:val="21"/>
                      <w:szCs w:val="21"/>
                    </w:rPr>
                  </w:pPr>
                  <w:r>
                    <w:rPr>
                      <w:sz w:val="21"/>
                      <w:szCs w:val="21"/>
                    </w:rPr>
                    <w:t>0.0009</w:t>
                  </w:r>
                </w:p>
              </w:tc>
              <w:tc>
                <w:tcPr>
                  <w:tcW w:w="1756" w:type="dxa"/>
                  <w:vAlign w:val="center"/>
                </w:tcPr>
                <w:p>
                  <w:pPr>
                    <w:jc w:val="center"/>
                    <w:rPr>
                      <w:sz w:val="21"/>
                      <w:szCs w:val="21"/>
                    </w:rPr>
                  </w:pPr>
                  <w:r>
                    <w:rPr>
                      <w:sz w:val="21"/>
                      <w:szCs w:val="21"/>
                    </w:rPr>
                    <w:t>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下风向最大浓度</w:t>
                  </w:r>
                </w:p>
              </w:tc>
              <w:tc>
                <w:tcPr>
                  <w:tcW w:w="1278" w:type="dxa"/>
                  <w:vAlign w:val="center"/>
                </w:tcPr>
                <w:p>
                  <w:pPr>
                    <w:jc w:val="center"/>
                    <w:rPr>
                      <w:sz w:val="21"/>
                      <w:szCs w:val="21"/>
                    </w:rPr>
                  </w:pPr>
                  <w:r>
                    <w:rPr>
                      <w:sz w:val="21"/>
                      <w:szCs w:val="21"/>
                    </w:rPr>
                    <w:t>1.7899</w:t>
                  </w:r>
                </w:p>
              </w:tc>
              <w:tc>
                <w:tcPr>
                  <w:tcW w:w="1537" w:type="dxa"/>
                  <w:vAlign w:val="center"/>
                </w:tcPr>
                <w:p>
                  <w:pPr>
                    <w:jc w:val="center"/>
                    <w:rPr>
                      <w:sz w:val="21"/>
                      <w:szCs w:val="21"/>
                    </w:rPr>
                  </w:pPr>
                  <w:r>
                    <w:rPr>
                      <w:sz w:val="21"/>
                      <w:szCs w:val="21"/>
                    </w:rPr>
                    <w:t>0.8950</w:t>
                  </w:r>
                </w:p>
              </w:tc>
              <w:tc>
                <w:tcPr>
                  <w:tcW w:w="1327" w:type="dxa"/>
                  <w:vAlign w:val="center"/>
                </w:tcPr>
                <w:p>
                  <w:pPr>
                    <w:jc w:val="center"/>
                    <w:rPr>
                      <w:sz w:val="21"/>
                      <w:szCs w:val="21"/>
                    </w:rPr>
                  </w:pPr>
                  <w:r>
                    <w:rPr>
                      <w:sz w:val="21"/>
                      <w:szCs w:val="21"/>
                    </w:rPr>
                    <w:t>0.0057</w:t>
                  </w:r>
                </w:p>
              </w:tc>
              <w:tc>
                <w:tcPr>
                  <w:tcW w:w="1756" w:type="dxa"/>
                  <w:vAlign w:val="center"/>
                </w:tcPr>
                <w:p>
                  <w:pPr>
                    <w:jc w:val="center"/>
                    <w:rPr>
                      <w:sz w:val="21"/>
                      <w:szCs w:val="21"/>
                    </w:rPr>
                  </w:pPr>
                  <w:r>
                    <w:rPr>
                      <w:sz w:val="21"/>
                      <w:szCs w:val="21"/>
                    </w:rPr>
                    <w:t>0.0568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下风向最大浓度距离</w:t>
                  </w:r>
                </w:p>
              </w:tc>
              <w:tc>
                <w:tcPr>
                  <w:tcW w:w="1278" w:type="dxa"/>
                  <w:vAlign w:val="center"/>
                </w:tcPr>
                <w:p>
                  <w:pPr>
                    <w:jc w:val="center"/>
                    <w:rPr>
                      <w:sz w:val="21"/>
                      <w:szCs w:val="21"/>
                    </w:rPr>
                  </w:pPr>
                  <w:r>
                    <w:rPr>
                      <w:sz w:val="21"/>
                      <w:szCs w:val="21"/>
                    </w:rPr>
                    <w:t>74.0</w:t>
                  </w:r>
                </w:p>
              </w:tc>
              <w:tc>
                <w:tcPr>
                  <w:tcW w:w="1537" w:type="dxa"/>
                  <w:vAlign w:val="center"/>
                </w:tcPr>
                <w:p>
                  <w:pPr>
                    <w:jc w:val="center"/>
                    <w:rPr>
                      <w:sz w:val="21"/>
                      <w:szCs w:val="21"/>
                    </w:rPr>
                  </w:pPr>
                  <w:r>
                    <w:rPr>
                      <w:sz w:val="21"/>
                      <w:szCs w:val="21"/>
                    </w:rPr>
                    <w:t>74.0</w:t>
                  </w:r>
                </w:p>
              </w:tc>
              <w:tc>
                <w:tcPr>
                  <w:tcW w:w="1327" w:type="dxa"/>
                  <w:vAlign w:val="center"/>
                </w:tcPr>
                <w:p>
                  <w:pPr>
                    <w:jc w:val="center"/>
                    <w:rPr>
                      <w:sz w:val="21"/>
                      <w:szCs w:val="21"/>
                    </w:rPr>
                  </w:pPr>
                  <w:r>
                    <w:rPr>
                      <w:sz w:val="21"/>
                      <w:szCs w:val="21"/>
                    </w:rPr>
                    <w:t>74.0</w:t>
                  </w:r>
                </w:p>
              </w:tc>
              <w:tc>
                <w:tcPr>
                  <w:tcW w:w="1756" w:type="dxa"/>
                  <w:vAlign w:val="center"/>
                </w:tcPr>
                <w:p>
                  <w:pPr>
                    <w:jc w:val="center"/>
                    <w:rPr>
                      <w:sz w:val="21"/>
                      <w:szCs w:val="21"/>
                    </w:rPr>
                  </w:pPr>
                  <w:r>
                    <w:rPr>
                      <w:sz w:val="21"/>
                      <w:szCs w:val="21"/>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D10%最远距离</w:t>
                  </w:r>
                </w:p>
              </w:tc>
              <w:tc>
                <w:tcPr>
                  <w:tcW w:w="1278" w:type="dxa"/>
                  <w:vAlign w:val="center"/>
                </w:tcPr>
                <w:p>
                  <w:pPr>
                    <w:jc w:val="center"/>
                    <w:rPr>
                      <w:sz w:val="21"/>
                      <w:szCs w:val="21"/>
                    </w:rPr>
                  </w:pPr>
                  <w:r>
                    <w:rPr>
                      <w:sz w:val="21"/>
                      <w:szCs w:val="21"/>
                    </w:rPr>
                    <w:t>/</w:t>
                  </w:r>
                </w:p>
              </w:tc>
              <w:tc>
                <w:tcPr>
                  <w:tcW w:w="1537" w:type="dxa"/>
                  <w:vAlign w:val="center"/>
                </w:tcPr>
                <w:p>
                  <w:pPr>
                    <w:jc w:val="center"/>
                    <w:rPr>
                      <w:sz w:val="21"/>
                      <w:szCs w:val="21"/>
                    </w:rPr>
                  </w:pPr>
                  <w:r>
                    <w:rPr>
                      <w:sz w:val="21"/>
                      <w:szCs w:val="21"/>
                    </w:rPr>
                    <w:t>/</w:t>
                  </w:r>
                </w:p>
              </w:tc>
              <w:tc>
                <w:tcPr>
                  <w:tcW w:w="1327" w:type="dxa"/>
                  <w:vAlign w:val="center"/>
                </w:tcPr>
                <w:p>
                  <w:pPr>
                    <w:jc w:val="center"/>
                    <w:rPr>
                      <w:sz w:val="21"/>
                      <w:szCs w:val="21"/>
                    </w:rPr>
                  </w:pPr>
                  <w:r>
                    <w:rPr>
                      <w:sz w:val="21"/>
                      <w:szCs w:val="21"/>
                    </w:rPr>
                    <w:t>/</w:t>
                  </w:r>
                </w:p>
              </w:tc>
              <w:tc>
                <w:tcPr>
                  <w:tcW w:w="1756" w:type="dxa"/>
                  <w:vAlign w:val="center"/>
                </w:tcPr>
                <w:p>
                  <w:pPr>
                    <w:jc w:val="center"/>
                    <w:rPr>
                      <w:sz w:val="21"/>
                      <w:szCs w:val="21"/>
                    </w:rPr>
                  </w:pPr>
                  <w:r>
                    <w:rPr>
                      <w:sz w:val="21"/>
                      <w:szCs w:val="21"/>
                    </w:rPr>
                    <w:t>/</w:t>
                  </w:r>
                </w:p>
              </w:tc>
            </w:tr>
          </w:tbl>
          <w:p>
            <w:pPr>
              <w:adjustRightInd w:val="0"/>
              <w:snapToGrid w:val="0"/>
              <w:spacing w:beforeLines="50" w:line="360" w:lineRule="auto"/>
              <w:rPr>
                <w:bCs/>
                <w:color w:val="000000"/>
                <w:szCs w:val="32"/>
              </w:rPr>
            </w:pPr>
            <w:r>
              <w:rPr>
                <w:rFonts w:hint="eastAsia"/>
                <w:bCs/>
                <w:color w:val="000000"/>
                <w:szCs w:val="32"/>
              </w:rPr>
              <w:drawing>
                <wp:inline distT="0" distB="0" distL="0" distR="0">
                  <wp:extent cx="5448300" cy="2419350"/>
                  <wp:effectExtent l="0" t="0" r="0" b="0"/>
                  <wp:docPr id="12" name="图片 14"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折线图"/>
                          <pic:cNvPicPr>
                            <a:picLocks noChangeAspect="1" noChangeArrowheads="1"/>
                          </pic:cNvPicPr>
                        </pic:nvPicPr>
                        <pic:blipFill>
                          <a:blip r:embed="rId25" cstate="print"/>
                          <a:srcRect/>
                          <a:stretch>
                            <a:fillRect/>
                          </a:stretch>
                        </pic:blipFill>
                        <pic:spPr>
                          <a:xfrm>
                            <a:off x="0" y="0"/>
                            <a:ext cx="5448300" cy="2419350"/>
                          </a:xfrm>
                          <a:prstGeom prst="rect">
                            <a:avLst/>
                          </a:prstGeom>
                          <a:noFill/>
                          <a:ln w="9525">
                            <a:noFill/>
                            <a:miter lim="800000"/>
                            <a:headEnd/>
                            <a:tailEnd/>
                          </a:ln>
                        </pic:spPr>
                      </pic:pic>
                    </a:graphicData>
                  </a:graphic>
                </wp:inline>
              </w:drawing>
            </w:r>
          </w:p>
          <w:p>
            <w:pPr>
              <w:jc w:val="center"/>
              <w:rPr>
                <w:b/>
                <w:color w:val="000000"/>
                <w:sz w:val="21"/>
              </w:rPr>
            </w:pPr>
            <w:r>
              <w:rPr>
                <w:b/>
                <w:color w:val="000000"/>
                <w:sz w:val="21"/>
              </w:rPr>
              <w:t>图</w:t>
            </w:r>
            <w:r>
              <w:rPr>
                <w:rFonts w:hint="eastAsia"/>
                <w:b/>
                <w:color w:val="000000"/>
                <w:sz w:val="21"/>
              </w:rPr>
              <w:t>7-1</w:t>
            </w:r>
            <w:r>
              <w:rPr>
                <w:b/>
                <w:color w:val="000000"/>
                <w:sz w:val="21"/>
              </w:rPr>
              <w:t xml:space="preserve">  </w:t>
            </w:r>
            <w:r>
              <w:rPr>
                <w:rFonts w:hint="eastAsia"/>
                <w:b/>
                <w:color w:val="000000"/>
                <w:sz w:val="21"/>
              </w:rPr>
              <w:t>邓川污水处理厂无组织排放各污染物的预测结果图</w:t>
            </w:r>
          </w:p>
          <w:p>
            <w:pPr>
              <w:adjustRightInd w:val="0"/>
              <w:snapToGrid w:val="0"/>
              <w:spacing w:beforeLines="50" w:line="360" w:lineRule="auto"/>
              <w:ind w:firstLine="480" w:firstLineChars="200"/>
              <w:rPr>
                <w:bCs/>
                <w:color w:val="000000"/>
                <w:szCs w:val="32"/>
              </w:rPr>
            </w:pPr>
            <w:r>
              <w:rPr>
                <w:rFonts w:hint="eastAsia"/>
                <w:bCs/>
                <w:color w:val="000000"/>
                <w:szCs w:val="32"/>
              </w:rPr>
              <w:t>从上表中可以看出，</w:t>
            </w:r>
            <w:bookmarkStart w:id="18" w:name="_Hlk19820783"/>
            <w:r>
              <w:rPr>
                <w:rFonts w:hint="eastAsia"/>
                <w:bCs/>
                <w:color w:val="000000"/>
                <w:szCs w:val="32"/>
              </w:rPr>
              <w:t>本项目邓川污水厂排放的无组织氨、硫化氢，在外环境中的贡献浓度先是随着距离的增加，在74</w:t>
            </w:r>
            <w:r>
              <w:rPr>
                <w:bCs/>
                <w:color w:val="000000"/>
                <w:szCs w:val="32"/>
              </w:rPr>
              <w:t>m</w:t>
            </w:r>
            <w:r>
              <w:rPr>
                <w:rFonts w:hint="eastAsia"/>
                <w:bCs/>
                <w:color w:val="000000"/>
                <w:szCs w:val="32"/>
              </w:rPr>
              <w:t>达到的最大落地浓度峰值后，贡献浓度逐渐随着距离的增加而降低。</w:t>
            </w:r>
            <w:bookmarkStart w:id="19" w:name="_Hlk16439627"/>
            <w:r>
              <w:rPr>
                <w:rFonts w:hint="eastAsia"/>
                <w:bCs/>
                <w:color w:val="000000"/>
                <w:szCs w:val="32"/>
              </w:rPr>
              <w:t>最大落地浓度出现在距离厂界74</w:t>
            </w:r>
            <w:r>
              <w:rPr>
                <w:bCs/>
                <w:color w:val="000000"/>
                <w:szCs w:val="32"/>
              </w:rPr>
              <w:t>m</w:t>
            </w:r>
            <w:r>
              <w:rPr>
                <w:rFonts w:hint="eastAsia"/>
                <w:bCs/>
                <w:color w:val="000000"/>
                <w:szCs w:val="32"/>
              </w:rPr>
              <w:t>的下风向点位处；最大落地点浓度均满足</w:t>
            </w:r>
            <w:r>
              <w:rPr>
                <w:rFonts w:hint="eastAsia"/>
              </w:rPr>
              <w:t>《城镇污水处理厂污染物排放标准》（GB18918-2002）表4中二级标准</w:t>
            </w:r>
            <w:r>
              <w:rPr>
                <w:rFonts w:hint="eastAsia"/>
                <w:bCs/>
                <w:color w:val="000000"/>
                <w:szCs w:val="32"/>
              </w:rPr>
              <w:t>，厂界均可达标排放。</w:t>
            </w:r>
            <w:bookmarkEnd w:id="18"/>
          </w:p>
          <w:bookmarkEnd w:id="19"/>
          <w:p>
            <w:pPr>
              <w:adjustRightInd w:val="0"/>
              <w:snapToGrid w:val="0"/>
              <w:spacing w:line="360" w:lineRule="auto"/>
              <w:ind w:firstLine="723" w:firstLineChars="300"/>
              <w:rPr>
                <w:b/>
                <w:bCs/>
              </w:rPr>
            </w:pPr>
            <w:r>
              <w:rPr>
                <w:rFonts w:hint="eastAsia"/>
                <w:b/>
                <w:bCs/>
              </w:rPr>
              <w:t>②右所污水处理厂</w:t>
            </w:r>
          </w:p>
          <w:p>
            <w:pPr>
              <w:pStyle w:val="23"/>
              <w:spacing w:line="360" w:lineRule="auto"/>
              <w:jc w:val="center"/>
              <w:rPr>
                <w:b/>
                <w:bCs/>
                <w:color w:val="000000"/>
                <w:sz w:val="21"/>
                <w:szCs w:val="16"/>
              </w:rPr>
            </w:pPr>
            <w:r>
              <w:rPr>
                <w:b/>
                <w:bCs/>
                <w:color w:val="000000"/>
                <w:sz w:val="21"/>
                <w:szCs w:val="16"/>
              </w:rPr>
              <w:t>表7-</w:t>
            </w:r>
            <w:r>
              <w:rPr>
                <w:rFonts w:hint="eastAsia"/>
                <w:b/>
                <w:bCs/>
                <w:color w:val="000000"/>
                <w:sz w:val="21"/>
                <w:szCs w:val="16"/>
              </w:rPr>
              <w:t xml:space="preserve">8 </w:t>
            </w:r>
            <w:r>
              <w:rPr>
                <w:b/>
                <w:bCs/>
                <w:color w:val="000000"/>
                <w:sz w:val="21"/>
                <w:szCs w:val="16"/>
              </w:rPr>
              <w:t xml:space="preserve"> </w:t>
            </w:r>
            <w:r>
              <w:rPr>
                <w:rFonts w:hint="eastAsia"/>
                <w:b/>
                <w:bCs/>
                <w:color w:val="000000"/>
                <w:sz w:val="21"/>
                <w:szCs w:val="16"/>
              </w:rPr>
              <w:t>右所污水处理厂主要污染物</w:t>
            </w:r>
            <w:r>
              <w:rPr>
                <w:b/>
                <w:bCs/>
                <w:color w:val="000000"/>
                <w:sz w:val="21"/>
                <w:szCs w:val="16"/>
              </w:rPr>
              <w:t>排放估算模式预测结果</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49"/>
              <w:gridCol w:w="1278"/>
              <w:gridCol w:w="1537"/>
              <w:gridCol w:w="132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pPr>
                    <w:jc w:val="center"/>
                    <w:rPr>
                      <w:b/>
                      <w:bCs/>
                      <w:color w:val="000000"/>
                      <w:sz w:val="21"/>
                      <w:szCs w:val="21"/>
                    </w:rPr>
                  </w:pPr>
                  <w:r>
                    <w:rPr>
                      <w:b/>
                      <w:bCs/>
                      <w:color w:val="000000"/>
                      <w:sz w:val="21"/>
                      <w:szCs w:val="21"/>
                    </w:rPr>
                    <w:t>序号</w:t>
                  </w:r>
                </w:p>
              </w:tc>
              <w:tc>
                <w:tcPr>
                  <w:tcW w:w="1449" w:type="dxa"/>
                  <w:vMerge w:val="restart"/>
                  <w:vAlign w:val="center"/>
                </w:tcPr>
                <w:p>
                  <w:pPr>
                    <w:jc w:val="center"/>
                    <w:rPr>
                      <w:b/>
                      <w:bCs/>
                      <w:color w:val="000000"/>
                      <w:sz w:val="21"/>
                      <w:szCs w:val="21"/>
                    </w:rPr>
                  </w:pPr>
                  <w:r>
                    <w:rPr>
                      <w:b/>
                      <w:bCs/>
                      <w:color w:val="000000"/>
                      <w:sz w:val="21"/>
                      <w:szCs w:val="21"/>
                    </w:rPr>
                    <w:t>下方向距离(m)</w:t>
                  </w:r>
                </w:p>
              </w:tc>
              <w:tc>
                <w:tcPr>
                  <w:tcW w:w="5898" w:type="dxa"/>
                  <w:gridSpan w:val="4"/>
                  <w:vAlign w:val="center"/>
                </w:tcPr>
                <w:p>
                  <w:pPr>
                    <w:jc w:val="center"/>
                    <w:rPr>
                      <w:b/>
                      <w:bCs/>
                      <w:color w:val="000000"/>
                      <w:sz w:val="21"/>
                      <w:szCs w:val="21"/>
                    </w:rPr>
                  </w:pPr>
                  <w:r>
                    <w:rPr>
                      <w:rFonts w:hint="eastAsia"/>
                      <w:b/>
                      <w:bCs/>
                      <w:color w:val="000000"/>
                      <w:sz w:val="21"/>
                      <w:szCs w:val="21"/>
                    </w:rPr>
                    <w:t>右所</w:t>
                  </w:r>
                  <w:r>
                    <w:rPr>
                      <w:b/>
                      <w:bCs/>
                      <w:color w:val="000000"/>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pPr>
                    <w:jc w:val="center"/>
                    <w:rPr>
                      <w:b/>
                      <w:bCs/>
                      <w:color w:val="000000"/>
                      <w:sz w:val="21"/>
                      <w:szCs w:val="21"/>
                    </w:rPr>
                  </w:pPr>
                </w:p>
              </w:tc>
              <w:tc>
                <w:tcPr>
                  <w:tcW w:w="1449" w:type="dxa"/>
                  <w:vMerge w:val="continue"/>
                  <w:vAlign w:val="center"/>
                </w:tcPr>
                <w:p>
                  <w:pPr>
                    <w:jc w:val="center"/>
                    <w:rPr>
                      <w:b/>
                      <w:bCs/>
                      <w:color w:val="000000"/>
                      <w:sz w:val="21"/>
                      <w:szCs w:val="21"/>
                    </w:rPr>
                  </w:pPr>
                </w:p>
              </w:tc>
              <w:tc>
                <w:tcPr>
                  <w:tcW w:w="1278" w:type="dxa"/>
                  <w:vAlign w:val="center"/>
                </w:tcPr>
                <w:p>
                  <w:pPr>
                    <w:jc w:val="center"/>
                    <w:rPr>
                      <w:b/>
                      <w:bCs/>
                      <w:color w:val="000000"/>
                      <w:sz w:val="21"/>
                      <w:szCs w:val="21"/>
                    </w:rPr>
                  </w:pPr>
                  <w:r>
                    <w:rPr>
                      <w:b/>
                      <w:bCs/>
                      <w:color w:val="000000"/>
                      <w:sz w:val="21"/>
                      <w:szCs w:val="21"/>
                    </w:rPr>
                    <w:t>硫化氢浓度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537" w:type="dxa"/>
                  <w:vAlign w:val="center"/>
                </w:tcPr>
                <w:p>
                  <w:pPr>
                    <w:jc w:val="center"/>
                    <w:rPr>
                      <w:b/>
                      <w:bCs/>
                      <w:color w:val="000000"/>
                      <w:sz w:val="21"/>
                      <w:szCs w:val="21"/>
                    </w:rPr>
                  </w:pPr>
                  <w:r>
                    <w:rPr>
                      <w:b/>
                      <w:bCs/>
                      <w:color w:val="000000"/>
                      <w:sz w:val="21"/>
                      <w:szCs w:val="21"/>
                    </w:rPr>
                    <w:t>硫化氢占标率</w:t>
                  </w:r>
                </w:p>
                <w:p>
                  <w:pPr>
                    <w:jc w:val="center"/>
                    <w:rPr>
                      <w:b/>
                      <w:bCs/>
                      <w:color w:val="000000"/>
                      <w:sz w:val="21"/>
                      <w:szCs w:val="21"/>
                    </w:rPr>
                  </w:pPr>
                  <w:r>
                    <w:rPr>
                      <w:b/>
                      <w:bCs/>
                      <w:color w:val="000000"/>
                      <w:sz w:val="21"/>
                      <w:szCs w:val="21"/>
                    </w:rPr>
                    <w:t>（%）</w:t>
                  </w:r>
                </w:p>
              </w:tc>
              <w:tc>
                <w:tcPr>
                  <w:tcW w:w="1327" w:type="dxa"/>
                  <w:vAlign w:val="center"/>
                </w:tcPr>
                <w:p>
                  <w:pPr>
                    <w:jc w:val="center"/>
                    <w:rPr>
                      <w:b/>
                      <w:bCs/>
                      <w:color w:val="000000"/>
                      <w:sz w:val="21"/>
                      <w:szCs w:val="21"/>
                    </w:rPr>
                  </w:pPr>
                  <w:r>
                    <w:rPr>
                      <w:b/>
                      <w:bCs/>
                      <w:color w:val="000000"/>
                      <w:sz w:val="21"/>
                      <w:szCs w:val="21"/>
                    </w:rPr>
                    <w:t>氨浓度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756" w:type="dxa"/>
                  <w:vAlign w:val="center"/>
                </w:tcPr>
                <w:p>
                  <w:pPr>
                    <w:jc w:val="center"/>
                    <w:rPr>
                      <w:b/>
                      <w:bCs/>
                      <w:color w:val="000000"/>
                      <w:sz w:val="21"/>
                      <w:szCs w:val="21"/>
                    </w:rPr>
                  </w:pPr>
                  <w:r>
                    <w:rPr>
                      <w:b/>
                      <w:bCs/>
                      <w:color w:val="000000"/>
                      <w:sz w:val="21"/>
                      <w:szCs w:val="21"/>
                    </w:rPr>
                    <w:t>氨占标率</w:t>
                  </w:r>
                </w:p>
                <w:p>
                  <w:pPr>
                    <w:jc w:val="center"/>
                    <w:rPr>
                      <w:b/>
                      <w:bCs/>
                      <w:color w:val="000000"/>
                      <w:sz w:val="21"/>
                      <w:szCs w:val="21"/>
                    </w:rPr>
                  </w:pPr>
                  <w:r>
                    <w:rPr>
                      <w:b/>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w:t>
                  </w:r>
                </w:p>
              </w:tc>
              <w:tc>
                <w:tcPr>
                  <w:tcW w:w="1449" w:type="dxa"/>
                  <w:vAlign w:val="center"/>
                </w:tcPr>
                <w:p>
                  <w:pPr>
                    <w:jc w:val="center"/>
                    <w:rPr>
                      <w:sz w:val="21"/>
                      <w:szCs w:val="21"/>
                    </w:rPr>
                  </w:pPr>
                  <w:r>
                    <w:rPr>
                      <w:sz w:val="21"/>
                      <w:szCs w:val="21"/>
                    </w:rPr>
                    <w:t>10.0</w:t>
                  </w:r>
                </w:p>
              </w:tc>
              <w:tc>
                <w:tcPr>
                  <w:tcW w:w="1278" w:type="dxa"/>
                  <w:vAlign w:val="center"/>
                </w:tcPr>
                <w:p>
                  <w:pPr>
                    <w:jc w:val="center"/>
                    <w:rPr>
                      <w:sz w:val="21"/>
                      <w:szCs w:val="21"/>
                    </w:rPr>
                  </w:pPr>
                  <w:r>
                    <w:rPr>
                      <w:sz w:val="21"/>
                      <w:szCs w:val="21"/>
                    </w:rPr>
                    <w:t>0.0019</w:t>
                  </w:r>
                </w:p>
              </w:tc>
              <w:tc>
                <w:tcPr>
                  <w:tcW w:w="1537" w:type="dxa"/>
                  <w:vAlign w:val="center"/>
                </w:tcPr>
                <w:p>
                  <w:pPr>
                    <w:jc w:val="center"/>
                    <w:rPr>
                      <w:sz w:val="21"/>
                      <w:szCs w:val="21"/>
                    </w:rPr>
                  </w:pPr>
                  <w:r>
                    <w:rPr>
                      <w:sz w:val="21"/>
                      <w:szCs w:val="21"/>
                    </w:rPr>
                    <w:t>0.0194</w:t>
                  </w:r>
                </w:p>
              </w:tc>
              <w:tc>
                <w:tcPr>
                  <w:tcW w:w="1327" w:type="dxa"/>
                  <w:vAlign w:val="center"/>
                </w:tcPr>
                <w:p>
                  <w:pPr>
                    <w:jc w:val="center"/>
                    <w:rPr>
                      <w:sz w:val="21"/>
                      <w:szCs w:val="21"/>
                    </w:rPr>
                  </w:pPr>
                  <w:r>
                    <w:rPr>
                      <w:sz w:val="21"/>
                      <w:szCs w:val="21"/>
                    </w:rPr>
                    <w:t>0.6142</w:t>
                  </w:r>
                </w:p>
              </w:tc>
              <w:tc>
                <w:tcPr>
                  <w:tcW w:w="1756" w:type="dxa"/>
                  <w:vAlign w:val="center"/>
                </w:tcPr>
                <w:p>
                  <w:pPr>
                    <w:jc w:val="center"/>
                    <w:rPr>
                      <w:sz w:val="21"/>
                      <w:szCs w:val="21"/>
                    </w:rPr>
                  </w:pPr>
                  <w:r>
                    <w:rPr>
                      <w:sz w:val="21"/>
                      <w:szCs w:val="21"/>
                    </w:rPr>
                    <w:t>0.3071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w:t>
                  </w:r>
                </w:p>
              </w:tc>
              <w:tc>
                <w:tcPr>
                  <w:tcW w:w="1449" w:type="dxa"/>
                  <w:vAlign w:val="center"/>
                </w:tcPr>
                <w:p>
                  <w:pPr>
                    <w:jc w:val="center"/>
                    <w:rPr>
                      <w:sz w:val="21"/>
                      <w:szCs w:val="21"/>
                    </w:rPr>
                  </w:pPr>
                  <w:r>
                    <w:rPr>
                      <w:sz w:val="21"/>
                      <w:szCs w:val="21"/>
                    </w:rPr>
                    <w:t>50.0</w:t>
                  </w:r>
                </w:p>
              </w:tc>
              <w:tc>
                <w:tcPr>
                  <w:tcW w:w="1278" w:type="dxa"/>
                  <w:vAlign w:val="center"/>
                </w:tcPr>
                <w:p>
                  <w:pPr>
                    <w:jc w:val="center"/>
                    <w:rPr>
                      <w:sz w:val="21"/>
                      <w:szCs w:val="21"/>
                    </w:rPr>
                  </w:pPr>
                  <w:r>
                    <w:rPr>
                      <w:sz w:val="21"/>
                      <w:szCs w:val="21"/>
                    </w:rPr>
                    <w:t>0.0030</w:t>
                  </w:r>
                </w:p>
              </w:tc>
              <w:tc>
                <w:tcPr>
                  <w:tcW w:w="1537" w:type="dxa"/>
                  <w:vAlign w:val="center"/>
                </w:tcPr>
                <w:p>
                  <w:pPr>
                    <w:jc w:val="center"/>
                    <w:rPr>
                      <w:sz w:val="21"/>
                      <w:szCs w:val="21"/>
                    </w:rPr>
                  </w:pPr>
                  <w:r>
                    <w:rPr>
                      <w:sz w:val="21"/>
                      <w:szCs w:val="21"/>
                    </w:rPr>
                    <w:t>0.0299</w:t>
                  </w:r>
                </w:p>
              </w:tc>
              <w:tc>
                <w:tcPr>
                  <w:tcW w:w="1327" w:type="dxa"/>
                  <w:vAlign w:val="center"/>
                </w:tcPr>
                <w:p>
                  <w:pPr>
                    <w:jc w:val="center"/>
                    <w:rPr>
                      <w:sz w:val="21"/>
                      <w:szCs w:val="21"/>
                    </w:rPr>
                  </w:pPr>
                  <w:r>
                    <w:rPr>
                      <w:sz w:val="21"/>
                      <w:szCs w:val="21"/>
                    </w:rPr>
                    <w:t>0.9452</w:t>
                  </w:r>
                </w:p>
              </w:tc>
              <w:tc>
                <w:tcPr>
                  <w:tcW w:w="1756" w:type="dxa"/>
                  <w:vAlign w:val="center"/>
                </w:tcPr>
                <w:p>
                  <w:pPr>
                    <w:jc w:val="center"/>
                    <w:rPr>
                      <w:sz w:val="21"/>
                      <w:szCs w:val="21"/>
                    </w:rPr>
                  </w:pPr>
                  <w:r>
                    <w:rPr>
                      <w:sz w:val="21"/>
                      <w:szCs w:val="21"/>
                    </w:rPr>
                    <w:t>0.4726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b/>
                      <w:bCs/>
                      <w:color w:val="000000"/>
                    </w:rPr>
                    <w:t>3</w:t>
                  </w:r>
                </w:p>
              </w:tc>
              <w:tc>
                <w:tcPr>
                  <w:tcW w:w="1449" w:type="dxa"/>
                  <w:vAlign w:val="center"/>
                </w:tcPr>
                <w:p>
                  <w:pPr>
                    <w:jc w:val="center"/>
                    <w:rPr>
                      <w:b/>
                      <w:bCs/>
                      <w:sz w:val="21"/>
                      <w:szCs w:val="21"/>
                    </w:rPr>
                  </w:pPr>
                  <w:r>
                    <w:rPr>
                      <w:b/>
                      <w:bCs/>
                      <w:sz w:val="21"/>
                      <w:szCs w:val="21"/>
                    </w:rPr>
                    <w:t>59.0</w:t>
                  </w:r>
                </w:p>
              </w:tc>
              <w:tc>
                <w:tcPr>
                  <w:tcW w:w="1278" w:type="dxa"/>
                  <w:vAlign w:val="center"/>
                </w:tcPr>
                <w:p>
                  <w:pPr>
                    <w:jc w:val="center"/>
                    <w:rPr>
                      <w:b/>
                      <w:bCs/>
                      <w:sz w:val="21"/>
                      <w:szCs w:val="21"/>
                    </w:rPr>
                  </w:pPr>
                  <w:r>
                    <w:rPr>
                      <w:b/>
                      <w:bCs/>
                      <w:sz w:val="21"/>
                      <w:szCs w:val="21"/>
                    </w:rPr>
                    <w:t>0.0030</w:t>
                  </w:r>
                </w:p>
              </w:tc>
              <w:tc>
                <w:tcPr>
                  <w:tcW w:w="1537" w:type="dxa"/>
                  <w:vAlign w:val="center"/>
                </w:tcPr>
                <w:p>
                  <w:pPr>
                    <w:jc w:val="center"/>
                    <w:rPr>
                      <w:b/>
                      <w:bCs/>
                      <w:sz w:val="21"/>
                      <w:szCs w:val="21"/>
                    </w:rPr>
                  </w:pPr>
                  <w:r>
                    <w:rPr>
                      <w:b/>
                      <w:bCs/>
                      <w:sz w:val="21"/>
                      <w:szCs w:val="21"/>
                    </w:rPr>
                    <w:t>0.0304</w:t>
                  </w:r>
                </w:p>
              </w:tc>
              <w:tc>
                <w:tcPr>
                  <w:tcW w:w="1327" w:type="dxa"/>
                  <w:vAlign w:val="center"/>
                </w:tcPr>
                <w:p>
                  <w:pPr>
                    <w:jc w:val="center"/>
                    <w:rPr>
                      <w:b/>
                      <w:bCs/>
                      <w:sz w:val="21"/>
                      <w:szCs w:val="21"/>
                    </w:rPr>
                  </w:pPr>
                  <w:r>
                    <w:rPr>
                      <w:b/>
                      <w:bCs/>
                      <w:sz w:val="21"/>
                      <w:szCs w:val="21"/>
                    </w:rPr>
                    <w:t>0.9621</w:t>
                  </w:r>
                </w:p>
              </w:tc>
              <w:tc>
                <w:tcPr>
                  <w:tcW w:w="1756" w:type="dxa"/>
                  <w:vAlign w:val="center"/>
                </w:tcPr>
                <w:p>
                  <w:pPr>
                    <w:jc w:val="center"/>
                    <w:rPr>
                      <w:b/>
                      <w:bCs/>
                      <w:sz w:val="21"/>
                      <w:szCs w:val="21"/>
                    </w:rPr>
                  </w:pPr>
                  <w:r>
                    <w:rPr>
                      <w:b/>
                      <w:bCs/>
                      <w:sz w:val="21"/>
                      <w:szCs w:val="21"/>
                    </w:rPr>
                    <w:t>0.4810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color w:val="000000"/>
                    </w:rPr>
                    <w:t>4</w:t>
                  </w:r>
                </w:p>
              </w:tc>
              <w:tc>
                <w:tcPr>
                  <w:tcW w:w="1449" w:type="dxa"/>
                  <w:vAlign w:val="center"/>
                </w:tcPr>
                <w:p>
                  <w:pPr>
                    <w:jc w:val="center"/>
                    <w:rPr>
                      <w:sz w:val="21"/>
                      <w:szCs w:val="21"/>
                    </w:rPr>
                  </w:pPr>
                  <w:r>
                    <w:rPr>
                      <w:sz w:val="21"/>
                      <w:szCs w:val="21"/>
                    </w:rPr>
                    <w:t>100.0</w:t>
                  </w:r>
                </w:p>
              </w:tc>
              <w:tc>
                <w:tcPr>
                  <w:tcW w:w="1278" w:type="dxa"/>
                  <w:vAlign w:val="center"/>
                </w:tcPr>
                <w:p>
                  <w:pPr>
                    <w:jc w:val="center"/>
                    <w:rPr>
                      <w:sz w:val="21"/>
                      <w:szCs w:val="21"/>
                    </w:rPr>
                  </w:pPr>
                  <w:r>
                    <w:rPr>
                      <w:sz w:val="21"/>
                      <w:szCs w:val="21"/>
                    </w:rPr>
                    <w:t>0.0026</w:t>
                  </w:r>
                </w:p>
              </w:tc>
              <w:tc>
                <w:tcPr>
                  <w:tcW w:w="1537" w:type="dxa"/>
                  <w:vAlign w:val="center"/>
                </w:tcPr>
                <w:p>
                  <w:pPr>
                    <w:jc w:val="center"/>
                    <w:rPr>
                      <w:sz w:val="21"/>
                      <w:szCs w:val="21"/>
                    </w:rPr>
                  </w:pPr>
                  <w:r>
                    <w:rPr>
                      <w:sz w:val="21"/>
                      <w:szCs w:val="21"/>
                    </w:rPr>
                    <w:t>0.0256</w:t>
                  </w:r>
                </w:p>
              </w:tc>
              <w:tc>
                <w:tcPr>
                  <w:tcW w:w="1327" w:type="dxa"/>
                  <w:vAlign w:val="center"/>
                </w:tcPr>
                <w:p>
                  <w:pPr>
                    <w:jc w:val="center"/>
                    <w:rPr>
                      <w:sz w:val="21"/>
                      <w:szCs w:val="21"/>
                    </w:rPr>
                  </w:pPr>
                  <w:r>
                    <w:rPr>
                      <w:sz w:val="21"/>
                      <w:szCs w:val="21"/>
                    </w:rPr>
                    <w:t>0.8074</w:t>
                  </w:r>
                </w:p>
              </w:tc>
              <w:tc>
                <w:tcPr>
                  <w:tcW w:w="1756" w:type="dxa"/>
                  <w:vAlign w:val="center"/>
                </w:tcPr>
                <w:p>
                  <w:pPr>
                    <w:jc w:val="center"/>
                    <w:rPr>
                      <w:sz w:val="21"/>
                      <w:szCs w:val="21"/>
                    </w:rPr>
                  </w:pPr>
                  <w:r>
                    <w:rPr>
                      <w:sz w:val="21"/>
                      <w:szCs w:val="21"/>
                    </w:rPr>
                    <w:t>0.4037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5</w:t>
                  </w:r>
                </w:p>
              </w:tc>
              <w:tc>
                <w:tcPr>
                  <w:tcW w:w="1449" w:type="dxa"/>
                  <w:vAlign w:val="center"/>
                </w:tcPr>
                <w:p>
                  <w:pPr>
                    <w:jc w:val="center"/>
                    <w:rPr>
                      <w:sz w:val="21"/>
                      <w:szCs w:val="21"/>
                    </w:rPr>
                  </w:pPr>
                  <w:r>
                    <w:rPr>
                      <w:sz w:val="21"/>
                      <w:szCs w:val="21"/>
                    </w:rPr>
                    <w:t>200.0</w:t>
                  </w:r>
                </w:p>
              </w:tc>
              <w:tc>
                <w:tcPr>
                  <w:tcW w:w="1278" w:type="dxa"/>
                  <w:vAlign w:val="center"/>
                </w:tcPr>
                <w:p>
                  <w:pPr>
                    <w:jc w:val="center"/>
                    <w:rPr>
                      <w:sz w:val="21"/>
                      <w:szCs w:val="21"/>
                    </w:rPr>
                  </w:pPr>
                  <w:r>
                    <w:rPr>
                      <w:sz w:val="21"/>
                      <w:szCs w:val="21"/>
                    </w:rPr>
                    <w:t>0.0016</w:t>
                  </w:r>
                </w:p>
              </w:tc>
              <w:tc>
                <w:tcPr>
                  <w:tcW w:w="1537" w:type="dxa"/>
                  <w:vAlign w:val="center"/>
                </w:tcPr>
                <w:p>
                  <w:pPr>
                    <w:jc w:val="center"/>
                    <w:rPr>
                      <w:sz w:val="21"/>
                      <w:szCs w:val="21"/>
                    </w:rPr>
                  </w:pPr>
                  <w:r>
                    <w:rPr>
                      <w:sz w:val="21"/>
                      <w:szCs w:val="21"/>
                    </w:rPr>
                    <w:t>0.0161</w:t>
                  </w:r>
                </w:p>
              </w:tc>
              <w:tc>
                <w:tcPr>
                  <w:tcW w:w="1327" w:type="dxa"/>
                  <w:vAlign w:val="center"/>
                </w:tcPr>
                <w:p>
                  <w:pPr>
                    <w:jc w:val="center"/>
                    <w:rPr>
                      <w:sz w:val="21"/>
                      <w:szCs w:val="21"/>
                    </w:rPr>
                  </w:pPr>
                  <w:r>
                    <w:rPr>
                      <w:sz w:val="21"/>
                      <w:szCs w:val="21"/>
                    </w:rPr>
                    <w:t>0.5090</w:t>
                  </w:r>
                </w:p>
              </w:tc>
              <w:tc>
                <w:tcPr>
                  <w:tcW w:w="1756" w:type="dxa"/>
                  <w:vAlign w:val="center"/>
                </w:tcPr>
                <w:p>
                  <w:pPr>
                    <w:jc w:val="center"/>
                    <w:rPr>
                      <w:sz w:val="21"/>
                      <w:szCs w:val="21"/>
                    </w:rPr>
                  </w:pPr>
                  <w:r>
                    <w:rPr>
                      <w:sz w:val="21"/>
                      <w:szCs w:val="21"/>
                    </w:rPr>
                    <w:t>0.2545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6</w:t>
                  </w:r>
                </w:p>
              </w:tc>
              <w:tc>
                <w:tcPr>
                  <w:tcW w:w="1449" w:type="dxa"/>
                  <w:vAlign w:val="center"/>
                </w:tcPr>
                <w:p>
                  <w:pPr>
                    <w:jc w:val="center"/>
                    <w:rPr>
                      <w:sz w:val="21"/>
                      <w:szCs w:val="21"/>
                    </w:rPr>
                  </w:pPr>
                  <w:r>
                    <w:rPr>
                      <w:sz w:val="21"/>
                      <w:szCs w:val="21"/>
                    </w:rPr>
                    <w:t>300.0</w:t>
                  </w:r>
                </w:p>
              </w:tc>
              <w:tc>
                <w:tcPr>
                  <w:tcW w:w="1278" w:type="dxa"/>
                  <w:vAlign w:val="center"/>
                </w:tcPr>
                <w:p>
                  <w:pPr>
                    <w:jc w:val="center"/>
                    <w:rPr>
                      <w:sz w:val="21"/>
                      <w:szCs w:val="21"/>
                    </w:rPr>
                  </w:pPr>
                  <w:r>
                    <w:rPr>
                      <w:sz w:val="21"/>
                      <w:szCs w:val="21"/>
                    </w:rPr>
                    <w:t>0.0013</w:t>
                  </w:r>
                </w:p>
              </w:tc>
              <w:tc>
                <w:tcPr>
                  <w:tcW w:w="1537" w:type="dxa"/>
                  <w:vAlign w:val="center"/>
                </w:tcPr>
                <w:p>
                  <w:pPr>
                    <w:jc w:val="center"/>
                    <w:rPr>
                      <w:sz w:val="21"/>
                      <w:szCs w:val="21"/>
                    </w:rPr>
                  </w:pPr>
                  <w:r>
                    <w:rPr>
                      <w:sz w:val="21"/>
                      <w:szCs w:val="21"/>
                    </w:rPr>
                    <w:t>0.0129</w:t>
                  </w:r>
                </w:p>
              </w:tc>
              <w:tc>
                <w:tcPr>
                  <w:tcW w:w="1327" w:type="dxa"/>
                  <w:vAlign w:val="center"/>
                </w:tcPr>
                <w:p>
                  <w:pPr>
                    <w:jc w:val="center"/>
                    <w:rPr>
                      <w:sz w:val="21"/>
                      <w:szCs w:val="21"/>
                    </w:rPr>
                  </w:pPr>
                  <w:r>
                    <w:rPr>
                      <w:sz w:val="21"/>
                      <w:szCs w:val="21"/>
                    </w:rPr>
                    <w:t>0.4063</w:t>
                  </w:r>
                </w:p>
              </w:tc>
              <w:tc>
                <w:tcPr>
                  <w:tcW w:w="1756" w:type="dxa"/>
                  <w:vAlign w:val="center"/>
                </w:tcPr>
                <w:p>
                  <w:pPr>
                    <w:jc w:val="center"/>
                    <w:rPr>
                      <w:sz w:val="21"/>
                      <w:szCs w:val="21"/>
                    </w:rPr>
                  </w:pPr>
                  <w:r>
                    <w:rPr>
                      <w:sz w:val="21"/>
                      <w:szCs w:val="21"/>
                    </w:rPr>
                    <w:t>0.2031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7</w:t>
                  </w:r>
                </w:p>
              </w:tc>
              <w:tc>
                <w:tcPr>
                  <w:tcW w:w="1449" w:type="dxa"/>
                  <w:vAlign w:val="center"/>
                </w:tcPr>
                <w:p>
                  <w:pPr>
                    <w:jc w:val="center"/>
                    <w:rPr>
                      <w:sz w:val="21"/>
                      <w:szCs w:val="21"/>
                    </w:rPr>
                  </w:pPr>
                  <w:r>
                    <w:rPr>
                      <w:sz w:val="21"/>
                      <w:szCs w:val="21"/>
                    </w:rPr>
                    <w:t>400.0</w:t>
                  </w:r>
                </w:p>
              </w:tc>
              <w:tc>
                <w:tcPr>
                  <w:tcW w:w="1278" w:type="dxa"/>
                  <w:vAlign w:val="center"/>
                </w:tcPr>
                <w:p>
                  <w:pPr>
                    <w:jc w:val="center"/>
                    <w:rPr>
                      <w:sz w:val="21"/>
                      <w:szCs w:val="21"/>
                    </w:rPr>
                  </w:pPr>
                  <w:r>
                    <w:rPr>
                      <w:sz w:val="21"/>
                      <w:szCs w:val="21"/>
                    </w:rPr>
                    <w:t>0.0010</w:t>
                  </w:r>
                </w:p>
              </w:tc>
              <w:tc>
                <w:tcPr>
                  <w:tcW w:w="1537" w:type="dxa"/>
                  <w:vAlign w:val="center"/>
                </w:tcPr>
                <w:p>
                  <w:pPr>
                    <w:jc w:val="center"/>
                    <w:rPr>
                      <w:sz w:val="21"/>
                      <w:szCs w:val="21"/>
                    </w:rPr>
                  </w:pPr>
                  <w:r>
                    <w:rPr>
                      <w:sz w:val="21"/>
                      <w:szCs w:val="21"/>
                    </w:rPr>
                    <w:t>0.0105</w:t>
                  </w:r>
                </w:p>
              </w:tc>
              <w:tc>
                <w:tcPr>
                  <w:tcW w:w="1327" w:type="dxa"/>
                  <w:vAlign w:val="center"/>
                </w:tcPr>
                <w:p>
                  <w:pPr>
                    <w:jc w:val="center"/>
                    <w:rPr>
                      <w:sz w:val="21"/>
                      <w:szCs w:val="21"/>
                    </w:rPr>
                  </w:pPr>
                  <w:r>
                    <w:rPr>
                      <w:sz w:val="21"/>
                      <w:szCs w:val="21"/>
                    </w:rPr>
                    <w:t>0.3312</w:t>
                  </w:r>
                </w:p>
              </w:tc>
              <w:tc>
                <w:tcPr>
                  <w:tcW w:w="1756" w:type="dxa"/>
                  <w:vAlign w:val="center"/>
                </w:tcPr>
                <w:p>
                  <w:pPr>
                    <w:jc w:val="center"/>
                    <w:rPr>
                      <w:sz w:val="21"/>
                      <w:szCs w:val="21"/>
                    </w:rPr>
                  </w:pPr>
                  <w:r>
                    <w:rPr>
                      <w:sz w:val="21"/>
                      <w:szCs w:val="21"/>
                    </w:rPr>
                    <w:t>0.1656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8</w:t>
                  </w:r>
                </w:p>
              </w:tc>
              <w:tc>
                <w:tcPr>
                  <w:tcW w:w="1449" w:type="dxa"/>
                  <w:vAlign w:val="center"/>
                </w:tcPr>
                <w:p>
                  <w:pPr>
                    <w:jc w:val="center"/>
                    <w:rPr>
                      <w:sz w:val="21"/>
                      <w:szCs w:val="21"/>
                    </w:rPr>
                  </w:pPr>
                  <w:r>
                    <w:rPr>
                      <w:sz w:val="21"/>
                      <w:szCs w:val="21"/>
                    </w:rPr>
                    <w:t>500.0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0.0092</w:t>
                  </w:r>
                </w:p>
              </w:tc>
              <w:tc>
                <w:tcPr>
                  <w:tcW w:w="1327" w:type="dxa"/>
                  <w:vAlign w:val="center"/>
                </w:tcPr>
                <w:p>
                  <w:pPr>
                    <w:jc w:val="center"/>
                    <w:rPr>
                      <w:sz w:val="21"/>
                      <w:szCs w:val="21"/>
                    </w:rPr>
                  </w:pPr>
                  <w:r>
                    <w:rPr>
                      <w:sz w:val="21"/>
                      <w:szCs w:val="21"/>
                    </w:rPr>
                    <w:t>0.2913</w:t>
                  </w:r>
                </w:p>
              </w:tc>
              <w:tc>
                <w:tcPr>
                  <w:tcW w:w="1756" w:type="dxa"/>
                  <w:vAlign w:val="center"/>
                </w:tcPr>
                <w:p>
                  <w:pPr>
                    <w:jc w:val="center"/>
                    <w:rPr>
                      <w:sz w:val="21"/>
                      <w:szCs w:val="21"/>
                    </w:rPr>
                  </w:pPr>
                  <w:r>
                    <w:rPr>
                      <w:sz w:val="21"/>
                      <w:szCs w:val="21"/>
                    </w:rPr>
                    <w:t>0.1457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9</w:t>
                  </w:r>
                </w:p>
              </w:tc>
              <w:tc>
                <w:tcPr>
                  <w:tcW w:w="1449" w:type="dxa"/>
                  <w:vAlign w:val="center"/>
                </w:tcPr>
                <w:p>
                  <w:pPr>
                    <w:jc w:val="center"/>
                    <w:rPr>
                      <w:sz w:val="21"/>
                      <w:szCs w:val="21"/>
                    </w:rPr>
                  </w:pPr>
                  <w:r>
                    <w:rPr>
                      <w:sz w:val="21"/>
                      <w:szCs w:val="21"/>
                    </w:rPr>
                    <w:t>600.0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0.0087</w:t>
                  </w:r>
                </w:p>
              </w:tc>
              <w:tc>
                <w:tcPr>
                  <w:tcW w:w="1327" w:type="dxa"/>
                  <w:vAlign w:val="center"/>
                </w:tcPr>
                <w:p>
                  <w:pPr>
                    <w:jc w:val="center"/>
                    <w:rPr>
                      <w:sz w:val="21"/>
                      <w:szCs w:val="21"/>
                    </w:rPr>
                  </w:pPr>
                  <w:r>
                    <w:rPr>
                      <w:sz w:val="21"/>
                      <w:szCs w:val="21"/>
                    </w:rPr>
                    <w:t>0.2760</w:t>
                  </w:r>
                </w:p>
              </w:tc>
              <w:tc>
                <w:tcPr>
                  <w:tcW w:w="1756" w:type="dxa"/>
                  <w:vAlign w:val="center"/>
                </w:tcPr>
                <w:p>
                  <w:pPr>
                    <w:jc w:val="center"/>
                    <w:rPr>
                      <w:sz w:val="21"/>
                      <w:szCs w:val="21"/>
                    </w:rPr>
                  </w:pPr>
                  <w:r>
                    <w:rPr>
                      <w:sz w:val="21"/>
                      <w:szCs w:val="21"/>
                    </w:rPr>
                    <w:t>0.1380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10</w:t>
                  </w:r>
                </w:p>
              </w:tc>
              <w:tc>
                <w:tcPr>
                  <w:tcW w:w="1449" w:type="dxa"/>
                  <w:vAlign w:val="center"/>
                </w:tcPr>
                <w:p>
                  <w:pPr>
                    <w:jc w:val="center"/>
                    <w:rPr>
                      <w:sz w:val="21"/>
                      <w:szCs w:val="21"/>
                    </w:rPr>
                  </w:pPr>
                  <w:r>
                    <w:rPr>
                      <w:sz w:val="21"/>
                      <w:szCs w:val="21"/>
                    </w:rPr>
                    <w:t>700.0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0.0083</w:t>
                  </w:r>
                </w:p>
              </w:tc>
              <w:tc>
                <w:tcPr>
                  <w:tcW w:w="1327" w:type="dxa"/>
                  <w:vAlign w:val="center"/>
                </w:tcPr>
                <w:p>
                  <w:pPr>
                    <w:jc w:val="center"/>
                    <w:rPr>
                      <w:sz w:val="21"/>
                      <w:szCs w:val="21"/>
                    </w:rPr>
                  </w:pPr>
                  <w:r>
                    <w:rPr>
                      <w:sz w:val="21"/>
                      <w:szCs w:val="21"/>
                    </w:rPr>
                    <w:t>0.2626</w:t>
                  </w:r>
                </w:p>
              </w:tc>
              <w:tc>
                <w:tcPr>
                  <w:tcW w:w="1756" w:type="dxa"/>
                  <w:vAlign w:val="center"/>
                </w:tcPr>
                <w:p>
                  <w:pPr>
                    <w:jc w:val="center"/>
                    <w:rPr>
                      <w:sz w:val="21"/>
                      <w:szCs w:val="21"/>
                    </w:rPr>
                  </w:pPr>
                  <w:r>
                    <w:rPr>
                      <w:sz w:val="21"/>
                      <w:szCs w:val="21"/>
                    </w:rPr>
                    <w:t>0.1313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11</w:t>
                  </w:r>
                </w:p>
              </w:tc>
              <w:tc>
                <w:tcPr>
                  <w:tcW w:w="1449" w:type="dxa"/>
                  <w:vAlign w:val="center"/>
                </w:tcPr>
                <w:p>
                  <w:pPr>
                    <w:jc w:val="center"/>
                    <w:rPr>
                      <w:sz w:val="21"/>
                      <w:szCs w:val="21"/>
                    </w:rPr>
                  </w:pPr>
                  <w:r>
                    <w:rPr>
                      <w:sz w:val="21"/>
                      <w:szCs w:val="21"/>
                    </w:rPr>
                    <w:t>800.0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0.0079</w:t>
                  </w:r>
                </w:p>
              </w:tc>
              <w:tc>
                <w:tcPr>
                  <w:tcW w:w="1327" w:type="dxa"/>
                  <w:vAlign w:val="center"/>
                </w:tcPr>
                <w:p>
                  <w:pPr>
                    <w:jc w:val="center"/>
                    <w:rPr>
                      <w:sz w:val="21"/>
                      <w:szCs w:val="21"/>
                    </w:rPr>
                  </w:pPr>
                  <w:r>
                    <w:rPr>
                      <w:sz w:val="21"/>
                      <w:szCs w:val="21"/>
                    </w:rPr>
                    <w:t>0.2507</w:t>
                  </w:r>
                </w:p>
              </w:tc>
              <w:tc>
                <w:tcPr>
                  <w:tcW w:w="1756" w:type="dxa"/>
                  <w:vAlign w:val="center"/>
                </w:tcPr>
                <w:p>
                  <w:pPr>
                    <w:jc w:val="center"/>
                    <w:rPr>
                      <w:sz w:val="21"/>
                      <w:szCs w:val="21"/>
                    </w:rPr>
                  </w:pPr>
                  <w:r>
                    <w:rPr>
                      <w:sz w:val="21"/>
                      <w:szCs w:val="21"/>
                    </w:rPr>
                    <w:t>0.1253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12</w:t>
                  </w:r>
                </w:p>
              </w:tc>
              <w:tc>
                <w:tcPr>
                  <w:tcW w:w="1449" w:type="dxa"/>
                  <w:vAlign w:val="center"/>
                </w:tcPr>
                <w:p>
                  <w:pPr>
                    <w:jc w:val="center"/>
                    <w:rPr>
                      <w:sz w:val="21"/>
                      <w:szCs w:val="21"/>
                    </w:rPr>
                  </w:pPr>
                  <w:r>
                    <w:rPr>
                      <w:sz w:val="21"/>
                      <w:szCs w:val="21"/>
                    </w:rPr>
                    <w:t>900.0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0.0076</w:t>
                  </w:r>
                </w:p>
              </w:tc>
              <w:tc>
                <w:tcPr>
                  <w:tcW w:w="1327" w:type="dxa"/>
                  <w:vAlign w:val="center"/>
                </w:tcPr>
                <w:p>
                  <w:pPr>
                    <w:jc w:val="center"/>
                    <w:rPr>
                      <w:sz w:val="21"/>
                      <w:szCs w:val="21"/>
                    </w:rPr>
                  </w:pPr>
                  <w:r>
                    <w:rPr>
                      <w:sz w:val="21"/>
                      <w:szCs w:val="21"/>
                    </w:rPr>
                    <w:t>0.2402</w:t>
                  </w:r>
                </w:p>
              </w:tc>
              <w:tc>
                <w:tcPr>
                  <w:tcW w:w="1756" w:type="dxa"/>
                  <w:vAlign w:val="center"/>
                </w:tcPr>
                <w:p>
                  <w:pPr>
                    <w:jc w:val="center"/>
                    <w:rPr>
                      <w:sz w:val="21"/>
                      <w:szCs w:val="21"/>
                    </w:rPr>
                  </w:pPr>
                  <w:r>
                    <w:rPr>
                      <w:sz w:val="21"/>
                      <w:szCs w:val="21"/>
                    </w:rPr>
                    <w:t>0.1201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13</w:t>
                  </w:r>
                </w:p>
              </w:tc>
              <w:tc>
                <w:tcPr>
                  <w:tcW w:w="1449" w:type="dxa"/>
                  <w:vAlign w:val="center"/>
                </w:tcPr>
                <w:p>
                  <w:pPr>
                    <w:jc w:val="center"/>
                    <w:rPr>
                      <w:sz w:val="21"/>
                      <w:szCs w:val="21"/>
                    </w:rPr>
                  </w:pPr>
                  <w:r>
                    <w:rPr>
                      <w:sz w:val="21"/>
                      <w:szCs w:val="21"/>
                    </w:rPr>
                    <w:t>1000.0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0.0073</w:t>
                  </w:r>
                </w:p>
              </w:tc>
              <w:tc>
                <w:tcPr>
                  <w:tcW w:w="1327" w:type="dxa"/>
                  <w:vAlign w:val="center"/>
                </w:tcPr>
                <w:p>
                  <w:pPr>
                    <w:jc w:val="center"/>
                    <w:rPr>
                      <w:sz w:val="21"/>
                      <w:szCs w:val="21"/>
                    </w:rPr>
                  </w:pPr>
                  <w:r>
                    <w:rPr>
                      <w:sz w:val="21"/>
                      <w:szCs w:val="21"/>
                    </w:rPr>
                    <w:t>0.2305</w:t>
                  </w:r>
                </w:p>
              </w:tc>
              <w:tc>
                <w:tcPr>
                  <w:tcW w:w="1756" w:type="dxa"/>
                  <w:vAlign w:val="center"/>
                </w:tcPr>
                <w:p>
                  <w:pPr>
                    <w:jc w:val="center"/>
                    <w:rPr>
                      <w:sz w:val="21"/>
                      <w:szCs w:val="21"/>
                    </w:rPr>
                  </w:pPr>
                  <w:r>
                    <w:rPr>
                      <w:sz w:val="21"/>
                      <w:szCs w:val="21"/>
                    </w:rPr>
                    <w:t>0.1152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14</w:t>
                  </w:r>
                </w:p>
              </w:tc>
              <w:tc>
                <w:tcPr>
                  <w:tcW w:w="1449" w:type="dxa"/>
                  <w:vAlign w:val="center"/>
                </w:tcPr>
                <w:p>
                  <w:pPr>
                    <w:jc w:val="center"/>
                    <w:rPr>
                      <w:sz w:val="21"/>
                      <w:szCs w:val="21"/>
                    </w:rPr>
                  </w:pPr>
                  <w:r>
                    <w:rPr>
                      <w:sz w:val="21"/>
                      <w:szCs w:val="21"/>
                    </w:rPr>
                    <w:t>1100.0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0.0070</w:t>
                  </w:r>
                </w:p>
              </w:tc>
              <w:tc>
                <w:tcPr>
                  <w:tcW w:w="1327" w:type="dxa"/>
                  <w:vAlign w:val="center"/>
                </w:tcPr>
                <w:p>
                  <w:pPr>
                    <w:jc w:val="center"/>
                    <w:rPr>
                      <w:sz w:val="21"/>
                      <w:szCs w:val="21"/>
                    </w:rPr>
                  </w:pPr>
                  <w:r>
                    <w:rPr>
                      <w:sz w:val="21"/>
                      <w:szCs w:val="21"/>
                    </w:rPr>
                    <w:t>0.2216</w:t>
                  </w:r>
                </w:p>
              </w:tc>
              <w:tc>
                <w:tcPr>
                  <w:tcW w:w="1756" w:type="dxa"/>
                  <w:vAlign w:val="center"/>
                </w:tcPr>
                <w:p>
                  <w:pPr>
                    <w:jc w:val="center"/>
                    <w:rPr>
                      <w:sz w:val="21"/>
                      <w:szCs w:val="21"/>
                    </w:rPr>
                  </w:pPr>
                  <w:r>
                    <w:rPr>
                      <w:sz w:val="21"/>
                      <w:szCs w:val="21"/>
                    </w:rPr>
                    <w:t>0.1108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15</w:t>
                  </w:r>
                </w:p>
              </w:tc>
              <w:tc>
                <w:tcPr>
                  <w:tcW w:w="1449" w:type="dxa"/>
                  <w:vAlign w:val="center"/>
                </w:tcPr>
                <w:p>
                  <w:pPr>
                    <w:jc w:val="center"/>
                    <w:rPr>
                      <w:sz w:val="21"/>
                      <w:szCs w:val="21"/>
                    </w:rPr>
                  </w:pPr>
                  <w:r>
                    <w:rPr>
                      <w:sz w:val="21"/>
                      <w:szCs w:val="21"/>
                    </w:rPr>
                    <w:t>1200.0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0.0068</w:t>
                  </w:r>
                </w:p>
              </w:tc>
              <w:tc>
                <w:tcPr>
                  <w:tcW w:w="1327" w:type="dxa"/>
                  <w:vAlign w:val="center"/>
                </w:tcPr>
                <w:p>
                  <w:pPr>
                    <w:jc w:val="center"/>
                    <w:rPr>
                      <w:sz w:val="21"/>
                      <w:szCs w:val="21"/>
                    </w:rPr>
                  </w:pPr>
                  <w:r>
                    <w:rPr>
                      <w:sz w:val="21"/>
                      <w:szCs w:val="21"/>
                    </w:rPr>
                    <w:t>0.2133</w:t>
                  </w:r>
                </w:p>
              </w:tc>
              <w:tc>
                <w:tcPr>
                  <w:tcW w:w="1756" w:type="dxa"/>
                  <w:vAlign w:val="center"/>
                </w:tcPr>
                <w:p>
                  <w:pPr>
                    <w:jc w:val="center"/>
                    <w:rPr>
                      <w:sz w:val="21"/>
                      <w:szCs w:val="21"/>
                    </w:rPr>
                  </w:pPr>
                  <w:r>
                    <w:rPr>
                      <w:sz w:val="21"/>
                      <w:szCs w:val="21"/>
                    </w:rPr>
                    <w:t>0.1067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16</w:t>
                  </w:r>
                </w:p>
              </w:tc>
              <w:tc>
                <w:tcPr>
                  <w:tcW w:w="1449" w:type="dxa"/>
                  <w:vAlign w:val="center"/>
                </w:tcPr>
                <w:p>
                  <w:pPr>
                    <w:jc w:val="center"/>
                    <w:rPr>
                      <w:sz w:val="21"/>
                      <w:szCs w:val="21"/>
                    </w:rPr>
                  </w:pPr>
                  <w:r>
                    <w:rPr>
                      <w:sz w:val="21"/>
                      <w:szCs w:val="21"/>
                    </w:rPr>
                    <w:t>1300.0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0.0066</w:t>
                  </w:r>
                </w:p>
              </w:tc>
              <w:tc>
                <w:tcPr>
                  <w:tcW w:w="1327" w:type="dxa"/>
                  <w:vAlign w:val="center"/>
                </w:tcPr>
                <w:p>
                  <w:pPr>
                    <w:jc w:val="center"/>
                    <w:rPr>
                      <w:sz w:val="21"/>
                      <w:szCs w:val="21"/>
                    </w:rPr>
                  </w:pPr>
                  <w:r>
                    <w:rPr>
                      <w:sz w:val="21"/>
                      <w:szCs w:val="21"/>
                    </w:rPr>
                    <w:t>0.2076</w:t>
                  </w:r>
                </w:p>
              </w:tc>
              <w:tc>
                <w:tcPr>
                  <w:tcW w:w="1756" w:type="dxa"/>
                  <w:vAlign w:val="center"/>
                </w:tcPr>
                <w:p>
                  <w:pPr>
                    <w:jc w:val="center"/>
                    <w:rPr>
                      <w:sz w:val="21"/>
                      <w:szCs w:val="21"/>
                    </w:rPr>
                  </w:pPr>
                  <w:r>
                    <w:rPr>
                      <w:sz w:val="21"/>
                      <w:szCs w:val="21"/>
                    </w:rPr>
                    <w:t>0.1038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17</w:t>
                  </w:r>
                </w:p>
              </w:tc>
              <w:tc>
                <w:tcPr>
                  <w:tcW w:w="1449" w:type="dxa"/>
                  <w:vAlign w:val="center"/>
                </w:tcPr>
                <w:p>
                  <w:pPr>
                    <w:jc w:val="center"/>
                    <w:rPr>
                      <w:sz w:val="21"/>
                      <w:szCs w:val="21"/>
                    </w:rPr>
                  </w:pPr>
                  <w:r>
                    <w:rPr>
                      <w:sz w:val="21"/>
                      <w:szCs w:val="21"/>
                    </w:rPr>
                    <w:t>1400.0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0.0063</w:t>
                  </w:r>
                </w:p>
              </w:tc>
              <w:tc>
                <w:tcPr>
                  <w:tcW w:w="1327" w:type="dxa"/>
                  <w:vAlign w:val="center"/>
                </w:tcPr>
                <w:p>
                  <w:pPr>
                    <w:jc w:val="center"/>
                    <w:rPr>
                      <w:sz w:val="21"/>
                      <w:szCs w:val="21"/>
                    </w:rPr>
                  </w:pPr>
                  <w:r>
                    <w:rPr>
                      <w:sz w:val="21"/>
                      <w:szCs w:val="21"/>
                    </w:rPr>
                    <w:t>0.2001</w:t>
                  </w:r>
                </w:p>
              </w:tc>
              <w:tc>
                <w:tcPr>
                  <w:tcW w:w="1756" w:type="dxa"/>
                  <w:vAlign w:val="center"/>
                </w:tcPr>
                <w:p>
                  <w:pPr>
                    <w:jc w:val="center"/>
                    <w:rPr>
                      <w:sz w:val="21"/>
                      <w:szCs w:val="21"/>
                    </w:rPr>
                  </w:pPr>
                  <w:r>
                    <w:rPr>
                      <w:sz w:val="21"/>
                      <w:szCs w:val="21"/>
                    </w:rPr>
                    <w:t>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18</w:t>
                  </w:r>
                </w:p>
              </w:tc>
              <w:tc>
                <w:tcPr>
                  <w:tcW w:w="1449" w:type="dxa"/>
                  <w:vAlign w:val="center"/>
                </w:tcPr>
                <w:p>
                  <w:pPr>
                    <w:jc w:val="center"/>
                    <w:rPr>
                      <w:sz w:val="21"/>
                      <w:szCs w:val="21"/>
                    </w:rPr>
                  </w:pPr>
                  <w:r>
                    <w:rPr>
                      <w:sz w:val="21"/>
                      <w:szCs w:val="21"/>
                    </w:rPr>
                    <w:t>1500.0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0.0061</w:t>
                  </w:r>
                </w:p>
              </w:tc>
              <w:tc>
                <w:tcPr>
                  <w:tcW w:w="1327" w:type="dxa"/>
                  <w:vAlign w:val="center"/>
                </w:tcPr>
                <w:p>
                  <w:pPr>
                    <w:jc w:val="center"/>
                    <w:rPr>
                      <w:sz w:val="21"/>
                      <w:szCs w:val="21"/>
                    </w:rPr>
                  </w:pPr>
                  <w:r>
                    <w:rPr>
                      <w:sz w:val="21"/>
                      <w:szCs w:val="21"/>
                    </w:rPr>
                    <w:t>0.1931</w:t>
                  </w:r>
                </w:p>
              </w:tc>
              <w:tc>
                <w:tcPr>
                  <w:tcW w:w="1756" w:type="dxa"/>
                  <w:vAlign w:val="center"/>
                </w:tcPr>
                <w:p>
                  <w:pPr>
                    <w:jc w:val="center"/>
                    <w:rPr>
                      <w:sz w:val="21"/>
                      <w:szCs w:val="21"/>
                    </w:rPr>
                  </w:pPr>
                  <w:r>
                    <w:rPr>
                      <w:sz w:val="21"/>
                      <w:szCs w:val="21"/>
                    </w:rPr>
                    <w:t>0.0966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19</w:t>
                  </w:r>
                </w:p>
              </w:tc>
              <w:tc>
                <w:tcPr>
                  <w:tcW w:w="1449" w:type="dxa"/>
                  <w:vAlign w:val="center"/>
                </w:tcPr>
                <w:p>
                  <w:pPr>
                    <w:jc w:val="center"/>
                    <w:rPr>
                      <w:sz w:val="21"/>
                      <w:szCs w:val="21"/>
                    </w:rPr>
                  </w:pPr>
                  <w:r>
                    <w:rPr>
                      <w:sz w:val="21"/>
                      <w:szCs w:val="21"/>
                    </w:rPr>
                    <w:t>1600.0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0.0059</w:t>
                  </w:r>
                </w:p>
              </w:tc>
              <w:tc>
                <w:tcPr>
                  <w:tcW w:w="1327" w:type="dxa"/>
                  <w:vAlign w:val="center"/>
                </w:tcPr>
                <w:p>
                  <w:pPr>
                    <w:jc w:val="center"/>
                    <w:rPr>
                      <w:sz w:val="21"/>
                      <w:szCs w:val="21"/>
                    </w:rPr>
                  </w:pPr>
                  <w:r>
                    <w:rPr>
                      <w:sz w:val="21"/>
                      <w:szCs w:val="21"/>
                    </w:rPr>
                    <w:t>0.1866</w:t>
                  </w:r>
                </w:p>
              </w:tc>
              <w:tc>
                <w:tcPr>
                  <w:tcW w:w="1756" w:type="dxa"/>
                  <w:vAlign w:val="center"/>
                </w:tcPr>
                <w:p>
                  <w:pPr>
                    <w:jc w:val="center"/>
                    <w:rPr>
                      <w:sz w:val="21"/>
                      <w:szCs w:val="21"/>
                    </w:rPr>
                  </w:pPr>
                  <w:r>
                    <w:rPr>
                      <w:sz w:val="21"/>
                      <w:szCs w:val="21"/>
                    </w:rPr>
                    <w:t>0.0933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20</w:t>
                  </w:r>
                </w:p>
              </w:tc>
              <w:tc>
                <w:tcPr>
                  <w:tcW w:w="1449" w:type="dxa"/>
                  <w:vAlign w:val="center"/>
                </w:tcPr>
                <w:p>
                  <w:pPr>
                    <w:jc w:val="center"/>
                    <w:rPr>
                      <w:sz w:val="21"/>
                      <w:szCs w:val="21"/>
                    </w:rPr>
                  </w:pPr>
                  <w:r>
                    <w:rPr>
                      <w:sz w:val="21"/>
                      <w:szCs w:val="21"/>
                    </w:rPr>
                    <w:t>1700.0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0.0057</w:t>
                  </w:r>
                </w:p>
              </w:tc>
              <w:tc>
                <w:tcPr>
                  <w:tcW w:w="1327" w:type="dxa"/>
                  <w:vAlign w:val="center"/>
                </w:tcPr>
                <w:p>
                  <w:pPr>
                    <w:jc w:val="center"/>
                    <w:rPr>
                      <w:sz w:val="21"/>
                      <w:szCs w:val="21"/>
                    </w:rPr>
                  </w:pPr>
                  <w:r>
                    <w:rPr>
                      <w:sz w:val="21"/>
                      <w:szCs w:val="21"/>
                    </w:rPr>
                    <w:t>0.1804</w:t>
                  </w:r>
                </w:p>
              </w:tc>
              <w:tc>
                <w:tcPr>
                  <w:tcW w:w="1756" w:type="dxa"/>
                  <w:vAlign w:val="center"/>
                </w:tcPr>
                <w:p>
                  <w:pPr>
                    <w:jc w:val="center"/>
                    <w:rPr>
                      <w:sz w:val="21"/>
                      <w:szCs w:val="21"/>
                    </w:rPr>
                  </w:pPr>
                  <w:r>
                    <w:rPr>
                      <w:sz w:val="21"/>
                      <w:szCs w:val="21"/>
                    </w:rPr>
                    <w:t>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21</w:t>
                  </w:r>
                </w:p>
              </w:tc>
              <w:tc>
                <w:tcPr>
                  <w:tcW w:w="1449" w:type="dxa"/>
                  <w:vAlign w:val="center"/>
                </w:tcPr>
                <w:p>
                  <w:pPr>
                    <w:jc w:val="center"/>
                    <w:rPr>
                      <w:sz w:val="21"/>
                      <w:szCs w:val="21"/>
                    </w:rPr>
                  </w:pPr>
                  <w:r>
                    <w:rPr>
                      <w:sz w:val="21"/>
                      <w:szCs w:val="21"/>
                    </w:rPr>
                    <w:t>1800.0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0.0055</w:t>
                  </w:r>
                </w:p>
              </w:tc>
              <w:tc>
                <w:tcPr>
                  <w:tcW w:w="1327" w:type="dxa"/>
                  <w:vAlign w:val="center"/>
                </w:tcPr>
                <w:p>
                  <w:pPr>
                    <w:jc w:val="center"/>
                    <w:rPr>
                      <w:sz w:val="21"/>
                      <w:szCs w:val="21"/>
                    </w:rPr>
                  </w:pPr>
                  <w:r>
                    <w:rPr>
                      <w:sz w:val="21"/>
                      <w:szCs w:val="21"/>
                    </w:rPr>
                    <w:t>0.1746</w:t>
                  </w:r>
                </w:p>
              </w:tc>
              <w:tc>
                <w:tcPr>
                  <w:tcW w:w="1756" w:type="dxa"/>
                  <w:vAlign w:val="center"/>
                </w:tcPr>
                <w:p>
                  <w:pPr>
                    <w:jc w:val="center"/>
                    <w:rPr>
                      <w:sz w:val="21"/>
                      <w:szCs w:val="21"/>
                    </w:rPr>
                  </w:pPr>
                  <w:r>
                    <w:rPr>
                      <w:sz w:val="21"/>
                      <w:szCs w:val="21"/>
                    </w:rPr>
                    <w:t>0.0873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22</w:t>
                  </w:r>
                </w:p>
              </w:tc>
              <w:tc>
                <w:tcPr>
                  <w:tcW w:w="1449" w:type="dxa"/>
                  <w:vAlign w:val="center"/>
                </w:tcPr>
                <w:p>
                  <w:pPr>
                    <w:jc w:val="center"/>
                    <w:rPr>
                      <w:sz w:val="21"/>
                      <w:szCs w:val="21"/>
                    </w:rPr>
                  </w:pPr>
                  <w:r>
                    <w:rPr>
                      <w:sz w:val="21"/>
                      <w:szCs w:val="21"/>
                    </w:rPr>
                    <w:t>1</w:t>
                  </w:r>
                  <w:r>
                    <w:rPr>
                      <w:rFonts w:hint="eastAsia"/>
                      <w:sz w:val="21"/>
                      <w:szCs w:val="21"/>
                    </w:rPr>
                    <w:t>900.0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0.0054</w:t>
                  </w:r>
                </w:p>
              </w:tc>
              <w:tc>
                <w:tcPr>
                  <w:tcW w:w="1327" w:type="dxa"/>
                  <w:vAlign w:val="center"/>
                </w:tcPr>
                <w:p>
                  <w:pPr>
                    <w:jc w:val="center"/>
                    <w:rPr>
                      <w:sz w:val="21"/>
                      <w:szCs w:val="21"/>
                    </w:rPr>
                  </w:pPr>
                  <w:r>
                    <w:rPr>
                      <w:sz w:val="21"/>
                      <w:szCs w:val="21"/>
                    </w:rPr>
                    <w:t>0.1692</w:t>
                  </w:r>
                </w:p>
              </w:tc>
              <w:tc>
                <w:tcPr>
                  <w:tcW w:w="1756" w:type="dxa"/>
                  <w:vAlign w:val="center"/>
                </w:tcPr>
                <w:p>
                  <w:pPr>
                    <w:jc w:val="center"/>
                    <w:rPr>
                      <w:sz w:val="21"/>
                      <w:szCs w:val="21"/>
                    </w:rPr>
                  </w:pPr>
                  <w:r>
                    <w:rPr>
                      <w:sz w:val="21"/>
                      <w:szCs w:val="21"/>
                    </w:rPr>
                    <w:t>0.0846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23</w:t>
                  </w:r>
                </w:p>
              </w:tc>
              <w:tc>
                <w:tcPr>
                  <w:tcW w:w="1449" w:type="dxa"/>
                  <w:vAlign w:val="center"/>
                </w:tcPr>
                <w:p>
                  <w:pPr>
                    <w:jc w:val="center"/>
                    <w:rPr>
                      <w:sz w:val="21"/>
                      <w:szCs w:val="21"/>
                    </w:rPr>
                  </w:pPr>
                  <w:r>
                    <w:rPr>
                      <w:sz w:val="21"/>
                      <w:szCs w:val="21"/>
                    </w:rPr>
                    <w:t>2000.0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0.0052</w:t>
                  </w:r>
                </w:p>
              </w:tc>
              <w:tc>
                <w:tcPr>
                  <w:tcW w:w="1327" w:type="dxa"/>
                  <w:vAlign w:val="center"/>
                </w:tcPr>
                <w:p>
                  <w:pPr>
                    <w:jc w:val="center"/>
                    <w:rPr>
                      <w:sz w:val="21"/>
                      <w:szCs w:val="21"/>
                    </w:rPr>
                  </w:pPr>
                  <w:r>
                    <w:rPr>
                      <w:sz w:val="21"/>
                      <w:szCs w:val="21"/>
                    </w:rPr>
                    <w:t>0.1640</w:t>
                  </w:r>
                </w:p>
              </w:tc>
              <w:tc>
                <w:tcPr>
                  <w:tcW w:w="1756" w:type="dxa"/>
                  <w:vAlign w:val="center"/>
                </w:tcPr>
                <w:p>
                  <w:pPr>
                    <w:jc w:val="center"/>
                    <w:rPr>
                      <w:sz w:val="21"/>
                      <w:szCs w:val="21"/>
                    </w:rPr>
                  </w:pPr>
                  <w:r>
                    <w:rPr>
                      <w:sz w:val="21"/>
                      <w:szCs w:val="21"/>
                    </w:rPr>
                    <w:t>0.0820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24</w:t>
                  </w:r>
                </w:p>
              </w:tc>
              <w:tc>
                <w:tcPr>
                  <w:tcW w:w="1449" w:type="dxa"/>
                  <w:vAlign w:val="center"/>
                </w:tcPr>
                <w:p>
                  <w:pPr>
                    <w:jc w:val="center"/>
                    <w:rPr>
                      <w:sz w:val="21"/>
                      <w:szCs w:val="21"/>
                    </w:rPr>
                  </w:pPr>
                  <w:r>
                    <w:rPr>
                      <w:sz w:val="21"/>
                      <w:szCs w:val="21"/>
                    </w:rPr>
                    <w:t>2100.0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0.0050</w:t>
                  </w:r>
                </w:p>
              </w:tc>
              <w:tc>
                <w:tcPr>
                  <w:tcW w:w="1327" w:type="dxa"/>
                  <w:vAlign w:val="center"/>
                </w:tcPr>
                <w:p>
                  <w:pPr>
                    <w:jc w:val="center"/>
                    <w:rPr>
                      <w:sz w:val="21"/>
                      <w:szCs w:val="21"/>
                    </w:rPr>
                  </w:pPr>
                  <w:r>
                    <w:rPr>
                      <w:sz w:val="21"/>
                      <w:szCs w:val="21"/>
                    </w:rPr>
                    <w:t>0.1591</w:t>
                  </w:r>
                </w:p>
              </w:tc>
              <w:tc>
                <w:tcPr>
                  <w:tcW w:w="1756" w:type="dxa"/>
                  <w:vAlign w:val="center"/>
                </w:tcPr>
                <w:p>
                  <w:pPr>
                    <w:jc w:val="center"/>
                    <w:rPr>
                      <w:sz w:val="21"/>
                      <w:szCs w:val="21"/>
                    </w:rPr>
                  </w:pPr>
                  <w:r>
                    <w:rPr>
                      <w:sz w:val="21"/>
                      <w:szCs w:val="21"/>
                    </w:rPr>
                    <w:t>0.0796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25</w:t>
                  </w:r>
                </w:p>
              </w:tc>
              <w:tc>
                <w:tcPr>
                  <w:tcW w:w="1449" w:type="dxa"/>
                  <w:vAlign w:val="center"/>
                </w:tcPr>
                <w:p>
                  <w:pPr>
                    <w:jc w:val="center"/>
                    <w:rPr>
                      <w:sz w:val="21"/>
                      <w:szCs w:val="21"/>
                    </w:rPr>
                  </w:pPr>
                  <w:r>
                    <w:rPr>
                      <w:sz w:val="21"/>
                      <w:szCs w:val="21"/>
                    </w:rPr>
                    <w:t>2200.0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0.0049</w:t>
                  </w:r>
                </w:p>
              </w:tc>
              <w:tc>
                <w:tcPr>
                  <w:tcW w:w="1327" w:type="dxa"/>
                  <w:vAlign w:val="center"/>
                </w:tcPr>
                <w:p>
                  <w:pPr>
                    <w:jc w:val="center"/>
                    <w:rPr>
                      <w:sz w:val="21"/>
                      <w:szCs w:val="21"/>
                    </w:rPr>
                  </w:pPr>
                  <w:r>
                    <w:rPr>
                      <w:sz w:val="21"/>
                      <w:szCs w:val="21"/>
                    </w:rPr>
                    <w:t>0.1545</w:t>
                  </w:r>
                </w:p>
              </w:tc>
              <w:tc>
                <w:tcPr>
                  <w:tcW w:w="1756" w:type="dxa"/>
                  <w:vAlign w:val="center"/>
                </w:tcPr>
                <w:p>
                  <w:pPr>
                    <w:jc w:val="center"/>
                    <w:rPr>
                      <w:sz w:val="21"/>
                      <w:szCs w:val="21"/>
                    </w:rPr>
                  </w:pPr>
                  <w:r>
                    <w:rPr>
                      <w:sz w:val="21"/>
                      <w:szCs w:val="21"/>
                    </w:rPr>
                    <w:t>0.0772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26</w:t>
                  </w:r>
                </w:p>
              </w:tc>
              <w:tc>
                <w:tcPr>
                  <w:tcW w:w="1449" w:type="dxa"/>
                  <w:vAlign w:val="center"/>
                </w:tcPr>
                <w:p>
                  <w:pPr>
                    <w:jc w:val="center"/>
                    <w:rPr>
                      <w:sz w:val="21"/>
                      <w:szCs w:val="21"/>
                    </w:rPr>
                  </w:pPr>
                  <w:r>
                    <w:rPr>
                      <w:sz w:val="21"/>
                      <w:szCs w:val="21"/>
                    </w:rPr>
                    <w:t>2300.0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0.0048</w:t>
                  </w:r>
                </w:p>
              </w:tc>
              <w:tc>
                <w:tcPr>
                  <w:tcW w:w="1327" w:type="dxa"/>
                  <w:vAlign w:val="center"/>
                </w:tcPr>
                <w:p>
                  <w:pPr>
                    <w:jc w:val="center"/>
                    <w:rPr>
                      <w:sz w:val="21"/>
                      <w:szCs w:val="21"/>
                    </w:rPr>
                  </w:pPr>
                  <w:r>
                    <w:rPr>
                      <w:sz w:val="21"/>
                      <w:szCs w:val="21"/>
                    </w:rPr>
                    <w:t>0.1501</w:t>
                  </w:r>
                </w:p>
              </w:tc>
              <w:tc>
                <w:tcPr>
                  <w:tcW w:w="1756" w:type="dxa"/>
                  <w:vAlign w:val="center"/>
                </w:tcPr>
                <w:p>
                  <w:pPr>
                    <w:jc w:val="center"/>
                    <w:rPr>
                      <w:sz w:val="21"/>
                      <w:szCs w:val="21"/>
                    </w:rPr>
                  </w:pPr>
                  <w:r>
                    <w:rPr>
                      <w:sz w:val="21"/>
                      <w:szCs w:val="21"/>
                    </w:rPr>
                    <w:t>0.0751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27</w:t>
                  </w:r>
                </w:p>
              </w:tc>
              <w:tc>
                <w:tcPr>
                  <w:tcW w:w="1449" w:type="dxa"/>
                  <w:vAlign w:val="center"/>
                </w:tcPr>
                <w:p>
                  <w:pPr>
                    <w:jc w:val="center"/>
                    <w:rPr>
                      <w:sz w:val="21"/>
                      <w:szCs w:val="21"/>
                    </w:rPr>
                  </w:pPr>
                  <w:r>
                    <w:rPr>
                      <w:sz w:val="21"/>
                      <w:szCs w:val="21"/>
                    </w:rPr>
                    <w:t>2400.0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0.0046</w:t>
                  </w:r>
                </w:p>
              </w:tc>
              <w:tc>
                <w:tcPr>
                  <w:tcW w:w="1327" w:type="dxa"/>
                  <w:vAlign w:val="center"/>
                </w:tcPr>
                <w:p>
                  <w:pPr>
                    <w:jc w:val="center"/>
                    <w:rPr>
                      <w:sz w:val="21"/>
                      <w:szCs w:val="21"/>
                    </w:rPr>
                  </w:pPr>
                  <w:r>
                    <w:rPr>
                      <w:sz w:val="21"/>
                      <w:szCs w:val="21"/>
                    </w:rPr>
                    <w:t>0.1459</w:t>
                  </w:r>
                </w:p>
              </w:tc>
              <w:tc>
                <w:tcPr>
                  <w:tcW w:w="1756" w:type="dxa"/>
                  <w:vAlign w:val="center"/>
                </w:tcPr>
                <w:p>
                  <w:pPr>
                    <w:jc w:val="center"/>
                    <w:rPr>
                      <w:sz w:val="21"/>
                      <w:szCs w:val="21"/>
                    </w:rPr>
                  </w:pPr>
                  <w:r>
                    <w:rPr>
                      <w:sz w:val="21"/>
                      <w:szCs w:val="21"/>
                    </w:rPr>
                    <w:t>0.0730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rStyle w:val="49"/>
                      <w:color w:val="000000"/>
                    </w:rPr>
                  </w:pPr>
                  <w:r>
                    <w:rPr>
                      <w:rStyle w:val="49"/>
                      <w:rFonts w:hint="eastAsia"/>
                      <w:color w:val="000000"/>
                    </w:rPr>
                    <w:t>28</w:t>
                  </w:r>
                </w:p>
              </w:tc>
              <w:tc>
                <w:tcPr>
                  <w:tcW w:w="1449" w:type="dxa"/>
                  <w:vAlign w:val="center"/>
                </w:tcPr>
                <w:p>
                  <w:pPr>
                    <w:jc w:val="center"/>
                    <w:rPr>
                      <w:sz w:val="21"/>
                      <w:szCs w:val="21"/>
                    </w:rPr>
                  </w:pPr>
                  <w:r>
                    <w:rPr>
                      <w:sz w:val="21"/>
                      <w:szCs w:val="21"/>
                    </w:rPr>
                    <w:t>2500.0</w:t>
                  </w:r>
                </w:p>
              </w:tc>
              <w:tc>
                <w:tcPr>
                  <w:tcW w:w="1278" w:type="dxa"/>
                  <w:vAlign w:val="center"/>
                </w:tcPr>
                <w:p>
                  <w:pPr>
                    <w:jc w:val="center"/>
                    <w:rPr>
                      <w:sz w:val="21"/>
                      <w:szCs w:val="21"/>
                    </w:rPr>
                  </w:pPr>
                  <w:r>
                    <w:rPr>
                      <w:sz w:val="21"/>
                      <w:szCs w:val="21"/>
                    </w:rPr>
                    <w:t>0.0004</w:t>
                  </w:r>
                </w:p>
              </w:tc>
              <w:tc>
                <w:tcPr>
                  <w:tcW w:w="1537" w:type="dxa"/>
                  <w:vAlign w:val="center"/>
                </w:tcPr>
                <w:p>
                  <w:pPr>
                    <w:jc w:val="center"/>
                    <w:rPr>
                      <w:sz w:val="21"/>
                      <w:szCs w:val="21"/>
                    </w:rPr>
                  </w:pPr>
                  <w:r>
                    <w:rPr>
                      <w:sz w:val="21"/>
                      <w:szCs w:val="21"/>
                    </w:rPr>
                    <w:t>0.0045</w:t>
                  </w:r>
                </w:p>
              </w:tc>
              <w:tc>
                <w:tcPr>
                  <w:tcW w:w="1327" w:type="dxa"/>
                  <w:vAlign w:val="center"/>
                </w:tcPr>
                <w:p>
                  <w:pPr>
                    <w:jc w:val="center"/>
                    <w:rPr>
                      <w:sz w:val="21"/>
                      <w:szCs w:val="21"/>
                    </w:rPr>
                  </w:pPr>
                  <w:r>
                    <w:rPr>
                      <w:sz w:val="21"/>
                      <w:szCs w:val="21"/>
                    </w:rPr>
                    <w:t>0.1420</w:t>
                  </w:r>
                </w:p>
              </w:tc>
              <w:tc>
                <w:tcPr>
                  <w:tcW w:w="1756" w:type="dxa"/>
                  <w:vAlign w:val="center"/>
                </w:tcPr>
                <w:p>
                  <w:pPr>
                    <w:jc w:val="center"/>
                    <w:rPr>
                      <w:sz w:val="21"/>
                      <w:szCs w:val="21"/>
                    </w:rPr>
                  </w:pPr>
                  <w:r>
                    <w:rPr>
                      <w:sz w:val="21"/>
                      <w:szCs w:val="21"/>
                    </w:rPr>
                    <w:t>0.0710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w:t>
                  </w:r>
                </w:p>
              </w:tc>
              <w:tc>
                <w:tcPr>
                  <w:tcW w:w="1278" w:type="dxa"/>
                  <w:vAlign w:val="center"/>
                </w:tcPr>
                <w:p>
                  <w:pPr>
                    <w:jc w:val="center"/>
                    <w:rPr>
                      <w:sz w:val="21"/>
                      <w:szCs w:val="21"/>
                    </w:rPr>
                  </w:pPr>
                  <w:r>
                    <w:rPr>
                      <w:sz w:val="21"/>
                      <w:szCs w:val="21"/>
                    </w:rPr>
                    <w:t>0.0030</w:t>
                  </w:r>
                </w:p>
              </w:tc>
              <w:tc>
                <w:tcPr>
                  <w:tcW w:w="1537" w:type="dxa"/>
                  <w:vAlign w:val="center"/>
                </w:tcPr>
                <w:p>
                  <w:pPr>
                    <w:jc w:val="center"/>
                    <w:rPr>
                      <w:sz w:val="21"/>
                      <w:szCs w:val="21"/>
                    </w:rPr>
                  </w:pPr>
                  <w:r>
                    <w:rPr>
                      <w:sz w:val="21"/>
                      <w:szCs w:val="21"/>
                    </w:rPr>
                    <w:t>0.0304</w:t>
                  </w:r>
                </w:p>
              </w:tc>
              <w:tc>
                <w:tcPr>
                  <w:tcW w:w="1327" w:type="dxa"/>
                  <w:vAlign w:val="center"/>
                </w:tcPr>
                <w:p>
                  <w:pPr>
                    <w:jc w:val="center"/>
                    <w:rPr>
                      <w:sz w:val="21"/>
                      <w:szCs w:val="21"/>
                    </w:rPr>
                  </w:pPr>
                  <w:r>
                    <w:rPr>
                      <w:sz w:val="21"/>
                      <w:szCs w:val="21"/>
                    </w:rPr>
                    <w:t>0.9621</w:t>
                  </w:r>
                </w:p>
              </w:tc>
              <w:tc>
                <w:tcPr>
                  <w:tcW w:w="1756" w:type="dxa"/>
                  <w:vAlign w:val="center"/>
                </w:tcPr>
                <w:p>
                  <w:pPr>
                    <w:jc w:val="center"/>
                    <w:rPr>
                      <w:sz w:val="21"/>
                      <w:szCs w:val="21"/>
                    </w:rPr>
                  </w:pPr>
                  <w:r>
                    <w:rPr>
                      <w:sz w:val="21"/>
                      <w:szCs w:val="21"/>
                    </w:rPr>
                    <w:t>0.4810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下风向最大浓度距离</w:t>
                  </w:r>
                </w:p>
              </w:tc>
              <w:tc>
                <w:tcPr>
                  <w:tcW w:w="1278" w:type="dxa"/>
                  <w:vAlign w:val="center"/>
                </w:tcPr>
                <w:p>
                  <w:pPr>
                    <w:jc w:val="center"/>
                    <w:rPr>
                      <w:sz w:val="21"/>
                      <w:szCs w:val="21"/>
                    </w:rPr>
                  </w:pPr>
                  <w:r>
                    <w:rPr>
                      <w:sz w:val="21"/>
                      <w:szCs w:val="21"/>
                    </w:rPr>
                    <w:t>59.0</w:t>
                  </w:r>
                </w:p>
              </w:tc>
              <w:tc>
                <w:tcPr>
                  <w:tcW w:w="1537" w:type="dxa"/>
                  <w:vAlign w:val="center"/>
                </w:tcPr>
                <w:p>
                  <w:pPr>
                    <w:jc w:val="center"/>
                    <w:rPr>
                      <w:sz w:val="21"/>
                      <w:szCs w:val="21"/>
                    </w:rPr>
                  </w:pPr>
                  <w:r>
                    <w:rPr>
                      <w:sz w:val="21"/>
                      <w:szCs w:val="21"/>
                    </w:rPr>
                    <w:t>59.0</w:t>
                  </w:r>
                </w:p>
              </w:tc>
              <w:tc>
                <w:tcPr>
                  <w:tcW w:w="1327" w:type="dxa"/>
                  <w:vAlign w:val="center"/>
                </w:tcPr>
                <w:p>
                  <w:pPr>
                    <w:jc w:val="center"/>
                    <w:rPr>
                      <w:sz w:val="21"/>
                      <w:szCs w:val="21"/>
                    </w:rPr>
                  </w:pPr>
                  <w:r>
                    <w:rPr>
                      <w:sz w:val="21"/>
                      <w:szCs w:val="21"/>
                    </w:rPr>
                    <w:t>59.0</w:t>
                  </w:r>
                </w:p>
              </w:tc>
              <w:tc>
                <w:tcPr>
                  <w:tcW w:w="1756" w:type="dxa"/>
                  <w:vAlign w:val="center"/>
                </w:tcPr>
                <w:p>
                  <w:pPr>
                    <w:jc w:val="center"/>
                    <w:rPr>
                      <w:sz w:val="21"/>
                      <w:szCs w:val="21"/>
                    </w:rPr>
                  </w:pPr>
                  <w:r>
                    <w:rPr>
                      <w:sz w:val="21"/>
                      <w:szCs w:val="21"/>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rPr>
                      <w:color w:val="000000"/>
                      <w:sz w:val="21"/>
                      <w:szCs w:val="21"/>
                    </w:rPr>
                  </w:pPr>
                  <w:r>
                    <w:rPr>
                      <w:rStyle w:val="49"/>
                      <w:color w:val="000000"/>
                    </w:rPr>
                    <w:t>D10%最远距离</w:t>
                  </w:r>
                </w:p>
              </w:tc>
              <w:tc>
                <w:tcPr>
                  <w:tcW w:w="1278" w:type="dxa"/>
                  <w:vAlign w:val="center"/>
                </w:tcPr>
                <w:p>
                  <w:pPr>
                    <w:jc w:val="center"/>
                    <w:rPr>
                      <w:sz w:val="21"/>
                      <w:szCs w:val="21"/>
                    </w:rPr>
                  </w:pPr>
                  <w:r>
                    <w:rPr>
                      <w:sz w:val="21"/>
                      <w:szCs w:val="21"/>
                    </w:rPr>
                    <w:t>/</w:t>
                  </w:r>
                </w:p>
              </w:tc>
              <w:tc>
                <w:tcPr>
                  <w:tcW w:w="1537" w:type="dxa"/>
                  <w:vAlign w:val="center"/>
                </w:tcPr>
                <w:p>
                  <w:pPr>
                    <w:jc w:val="center"/>
                    <w:rPr>
                      <w:sz w:val="21"/>
                      <w:szCs w:val="21"/>
                    </w:rPr>
                  </w:pPr>
                  <w:r>
                    <w:rPr>
                      <w:sz w:val="21"/>
                      <w:szCs w:val="21"/>
                    </w:rPr>
                    <w:t>/</w:t>
                  </w:r>
                </w:p>
              </w:tc>
              <w:tc>
                <w:tcPr>
                  <w:tcW w:w="1327" w:type="dxa"/>
                  <w:vAlign w:val="center"/>
                </w:tcPr>
                <w:p>
                  <w:pPr>
                    <w:jc w:val="center"/>
                    <w:rPr>
                      <w:sz w:val="21"/>
                      <w:szCs w:val="21"/>
                    </w:rPr>
                  </w:pPr>
                  <w:r>
                    <w:rPr>
                      <w:sz w:val="21"/>
                      <w:szCs w:val="21"/>
                    </w:rPr>
                    <w:t>/</w:t>
                  </w:r>
                </w:p>
              </w:tc>
              <w:tc>
                <w:tcPr>
                  <w:tcW w:w="1756" w:type="dxa"/>
                  <w:vAlign w:val="center"/>
                </w:tcPr>
                <w:p>
                  <w:pPr>
                    <w:jc w:val="center"/>
                    <w:rPr>
                      <w:sz w:val="21"/>
                      <w:szCs w:val="21"/>
                    </w:rPr>
                  </w:pPr>
                  <w:r>
                    <w:rPr>
                      <w:sz w:val="21"/>
                      <w:szCs w:val="21"/>
                    </w:rPr>
                    <w:t>/</w:t>
                  </w:r>
                </w:p>
              </w:tc>
            </w:tr>
          </w:tbl>
          <w:p>
            <w:pPr>
              <w:adjustRightInd w:val="0"/>
              <w:snapToGrid w:val="0"/>
              <w:spacing w:beforeLines="50" w:line="360" w:lineRule="auto"/>
              <w:rPr>
                <w:bCs/>
                <w:color w:val="000000"/>
                <w:szCs w:val="32"/>
              </w:rPr>
            </w:pPr>
            <w:r>
              <w:rPr>
                <w:rFonts w:hint="eastAsia"/>
                <w:bCs/>
                <w:color w:val="000000"/>
                <w:szCs w:val="32"/>
              </w:rPr>
              <w:drawing>
                <wp:inline distT="0" distB="0" distL="0" distR="0">
                  <wp:extent cx="5448300" cy="2419350"/>
                  <wp:effectExtent l="0" t="0" r="0" b="0"/>
                  <wp:docPr id="13" name="图片 15"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折线图"/>
                          <pic:cNvPicPr>
                            <a:picLocks noChangeAspect="1" noChangeArrowheads="1"/>
                          </pic:cNvPicPr>
                        </pic:nvPicPr>
                        <pic:blipFill>
                          <a:blip r:embed="rId26" cstate="print"/>
                          <a:srcRect/>
                          <a:stretch>
                            <a:fillRect/>
                          </a:stretch>
                        </pic:blipFill>
                        <pic:spPr>
                          <a:xfrm>
                            <a:off x="0" y="0"/>
                            <a:ext cx="5448300" cy="2419350"/>
                          </a:xfrm>
                          <a:prstGeom prst="rect">
                            <a:avLst/>
                          </a:prstGeom>
                          <a:noFill/>
                          <a:ln w="9525">
                            <a:noFill/>
                            <a:miter lim="800000"/>
                            <a:headEnd/>
                            <a:tailEnd/>
                          </a:ln>
                        </pic:spPr>
                      </pic:pic>
                    </a:graphicData>
                  </a:graphic>
                </wp:inline>
              </w:drawing>
            </w:r>
          </w:p>
          <w:p>
            <w:pPr>
              <w:adjustRightInd w:val="0"/>
              <w:snapToGrid w:val="0"/>
              <w:jc w:val="center"/>
              <w:rPr>
                <w:b/>
                <w:color w:val="000000"/>
                <w:sz w:val="21"/>
              </w:rPr>
            </w:pPr>
            <w:r>
              <w:rPr>
                <w:b/>
                <w:color w:val="000000"/>
                <w:sz w:val="21"/>
              </w:rPr>
              <w:t>图</w:t>
            </w:r>
            <w:r>
              <w:rPr>
                <w:rFonts w:hint="eastAsia"/>
                <w:b/>
                <w:color w:val="000000"/>
                <w:sz w:val="21"/>
              </w:rPr>
              <w:t>7-2</w:t>
            </w:r>
            <w:r>
              <w:rPr>
                <w:b/>
                <w:color w:val="000000"/>
                <w:sz w:val="21"/>
              </w:rPr>
              <w:t xml:space="preserve">  </w:t>
            </w:r>
            <w:r>
              <w:rPr>
                <w:rFonts w:hint="eastAsia"/>
                <w:b/>
                <w:color w:val="000000"/>
                <w:sz w:val="21"/>
              </w:rPr>
              <w:t>右所污水处理厂无组织排放各污染物的预测结果图</w:t>
            </w:r>
          </w:p>
          <w:p>
            <w:pPr>
              <w:adjustRightInd w:val="0"/>
              <w:snapToGrid w:val="0"/>
              <w:spacing w:beforeLines="50" w:line="360" w:lineRule="auto"/>
              <w:ind w:firstLine="480" w:firstLineChars="200"/>
              <w:rPr>
                <w:bCs/>
                <w:color w:val="000000"/>
                <w:szCs w:val="32"/>
              </w:rPr>
            </w:pPr>
            <w:r>
              <w:rPr>
                <w:rFonts w:hint="eastAsia"/>
                <w:bCs/>
                <w:color w:val="000000"/>
                <w:szCs w:val="32"/>
              </w:rPr>
              <w:t>从上表中可以看出，本项目右所污水厂排放的无组织氨、硫化氢，在外环境中的贡献浓度先是随着距离的增加，在59</w:t>
            </w:r>
            <w:r>
              <w:rPr>
                <w:bCs/>
                <w:color w:val="000000"/>
                <w:szCs w:val="32"/>
              </w:rPr>
              <w:t>m</w:t>
            </w:r>
            <w:r>
              <w:rPr>
                <w:rFonts w:hint="eastAsia"/>
                <w:bCs/>
                <w:color w:val="000000"/>
                <w:szCs w:val="32"/>
              </w:rPr>
              <w:t>达到的最大落地浓度峰值后，贡献浓度逐渐随着距离的增加而降低。最大落地浓度出现在距离厂界59</w:t>
            </w:r>
            <w:r>
              <w:rPr>
                <w:bCs/>
                <w:color w:val="000000"/>
                <w:szCs w:val="32"/>
              </w:rPr>
              <w:t>m</w:t>
            </w:r>
            <w:r>
              <w:rPr>
                <w:rFonts w:hint="eastAsia"/>
                <w:bCs/>
                <w:color w:val="000000"/>
                <w:szCs w:val="32"/>
              </w:rPr>
              <w:t>的下风向点位处；最大落地点浓度均满足</w:t>
            </w:r>
            <w:r>
              <w:rPr>
                <w:rFonts w:hint="eastAsia"/>
              </w:rPr>
              <w:t>《城镇污水处理厂污染物排放标准》（GB18918-2002）表4中二级标准</w:t>
            </w:r>
            <w:r>
              <w:rPr>
                <w:rFonts w:hint="eastAsia"/>
                <w:bCs/>
                <w:color w:val="000000"/>
                <w:szCs w:val="32"/>
              </w:rPr>
              <w:t>，厂界均可达标排放。</w:t>
            </w:r>
          </w:p>
          <w:p>
            <w:pPr>
              <w:adjustRightInd w:val="0"/>
              <w:snapToGrid w:val="0"/>
              <w:spacing w:line="360" w:lineRule="auto"/>
              <w:ind w:firstLine="723" w:firstLineChars="300"/>
              <w:rPr>
                <w:b/>
                <w:bCs/>
              </w:rPr>
            </w:pPr>
            <w:r>
              <w:rPr>
                <w:rFonts w:hint="eastAsia"/>
                <w:b/>
                <w:bCs/>
              </w:rPr>
              <w:t>③牛街污水处理厂</w:t>
            </w:r>
          </w:p>
          <w:p>
            <w:pPr>
              <w:pStyle w:val="23"/>
              <w:spacing w:line="360" w:lineRule="auto"/>
              <w:jc w:val="center"/>
              <w:rPr>
                <w:b/>
                <w:bCs/>
                <w:color w:val="000000"/>
                <w:sz w:val="21"/>
                <w:szCs w:val="16"/>
              </w:rPr>
            </w:pPr>
            <w:r>
              <w:rPr>
                <w:b/>
                <w:bCs/>
                <w:color w:val="000000"/>
                <w:sz w:val="21"/>
                <w:szCs w:val="16"/>
              </w:rPr>
              <w:t>表7-</w:t>
            </w:r>
            <w:r>
              <w:rPr>
                <w:rFonts w:hint="eastAsia"/>
                <w:b/>
                <w:bCs/>
                <w:color w:val="000000"/>
                <w:sz w:val="21"/>
                <w:szCs w:val="16"/>
              </w:rPr>
              <w:t xml:space="preserve">9 </w:t>
            </w:r>
            <w:r>
              <w:rPr>
                <w:b/>
                <w:bCs/>
                <w:color w:val="000000"/>
                <w:sz w:val="21"/>
                <w:szCs w:val="16"/>
              </w:rPr>
              <w:t xml:space="preserve"> </w:t>
            </w:r>
            <w:r>
              <w:rPr>
                <w:rFonts w:hint="eastAsia"/>
                <w:b/>
                <w:bCs/>
                <w:color w:val="000000"/>
                <w:sz w:val="21"/>
                <w:szCs w:val="16"/>
              </w:rPr>
              <w:t>所牛街污水处理厂主要污染物</w:t>
            </w:r>
            <w:r>
              <w:rPr>
                <w:b/>
                <w:bCs/>
                <w:color w:val="000000"/>
                <w:sz w:val="21"/>
                <w:szCs w:val="16"/>
              </w:rPr>
              <w:t>排放估算模式预测结果</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49"/>
              <w:gridCol w:w="1278"/>
              <w:gridCol w:w="1537"/>
              <w:gridCol w:w="132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pPr>
                    <w:jc w:val="center"/>
                    <w:rPr>
                      <w:b/>
                      <w:bCs/>
                      <w:color w:val="000000"/>
                      <w:sz w:val="21"/>
                      <w:szCs w:val="21"/>
                    </w:rPr>
                  </w:pPr>
                  <w:r>
                    <w:rPr>
                      <w:b/>
                      <w:bCs/>
                      <w:color w:val="000000"/>
                      <w:sz w:val="21"/>
                      <w:szCs w:val="21"/>
                    </w:rPr>
                    <w:t>序号</w:t>
                  </w:r>
                </w:p>
              </w:tc>
              <w:tc>
                <w:tcPr>
                  <w:tcW w:w="1449" w:type="dxa"/>
                  <w:vMerge w:val="restart"/>
                  <w:vAlign w:val="center"/>
                </w:tcPr>
                <w:p>
                  <w:pPr>
                    <w:jc w:val="center"/>
                    <w:rPr>
                      <w:b/>
                      <w:bCs/>
                      <w:color w:val="000000"/>
                      <w:sz w:val="21"/>
                      <w:szCs w:val="21"/>
                    </w:rPr>
                  </w:pPr>
                  <w:r>
                    <w:rPr>
                      <w:b/>
                      <w:bCs/>
                      <w:color w:val="000000"/>
                      <w:sz w:val="21"/>
                      <w:szCs w:val="21"/>
                    </w:rPr>
                    <w:t>下方向距离(m)</w:t>
                  </w:r>
                </w:p>
              </w:tc>
              <w:tc>
                <w:tcPr>
                  <w:tcW w:w="5898" w:type="dxa"/>
                  <w:gridSpan w:val="4"/>
                  <w:vAlign w:val="center"/>
                </w:tcPr>
                <w:p>
                  <w:pPr>
                    <w:jc w:val="center"/>
                    <w:rPr>
                      <w:b/>
                      <w:bCs/>
                      <w:color w:val="000000"/>
                      <w:sz w:val="21"/>
                      <w:szCs w:val="21"/>
                    </w:rPr>
                  </w:pPr>
                  <w:r>
                    <w:rPr>
                      <w:rFonts w:hint="eastAsia"/>
                      <w:b/>
                      <w:bCs/>
                      <w:color w:val="000000"/>
                      <w:sz w:val="21"/>
                      <w:szCs w:val="21"/>
                    </w:rPr>
                    <w:t>右所</w:t>
                  </w:r>
                  <w:r>
                    <w:rPr>
                      <w:b/>
                      <w:bCs/>
                      <w:color w:val="000000"/>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pPr>
                    <w:jc w:val="center"/>
                    <w:rPr>
                      <w:b/>
                      <w:bCs/>
                      <w:color w:val="000000"/>
                      <w:sz w:val="21"/>
                      <w:szCs w:val="21"/>
                    </w:rPr>
                  </w:pPr>
                </w:p>
              </w:tc>
              <w:tc>
                <w:tcPr>
                  <w:tcW w:w="1449" w:type="dxa"/>
                  <w:vMerge w:val="continue"/>
                  <w:vAlign w:val="center"/>
                </w:tcPr>
                <w:p>
                  <w:pPr>
                    <w:jc w:val="center"/>
                    <w:rPr>
                      <w:b/>
                      <w:bCs/>
                      <w:color w:val="000000"/>
                      <w:sz w:val="21"/>
                      <w:szCs w:val="21"/>
                    </w:rPr>
                  </w:pPr>
                </w:p>
              </w:tc>
              <w:tc>
                <w:tcPr>
                  <w:tcW w:w="1278" w:type="dxa"/>
                  <w:vAlign w:val="center"/>
                </w:tcPr>
                <w:p>
                  <w:pPr>
                    <w:jc w:val="center"/>
                    <w:rPr>
                      <w:b/>
                      <w:bCs/>
                      <w:color w:val="000000"/>
                      <w:sz w:val="21"/>
                      <w:szCs w:val="21"/>
                    </w:rPr>
                  </w:pPr>
                  <w:r>
                    <w:rPr>
                      <w:b/>
                      <w:bCs/>
                      <w:color w:val="000000"/>
                      <w:sz w:val="21"/>
                      <w:szCs w:val="21"/>
                    </w:rPr>
                    <w:t>硫化氢浓度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537" w:type="dxa"/>
                  <w:vAlign w:val="center"/>
                </w:tcPr>
                <w:p>
                  <w:pPr>
                    <w:jc w:val="center"/>
                    <w:rPr>
                      <w:b/>
                      <w:bCs/>
                      <w:color w:val="000000"/>
                      <w:sz w:val="21"/>
                      <w:szCs w:val="21"/>
                    </w:rPr>
                  </w:pPr>
                  <w:r>
                    <w:rPr>
                      <w:b/>
                      <w:bCs/>
                      <w:color w:val="000000"/>
                      <w:sz w:val="21"/>
                      <w:szCs w:val="21"/>
                    </w:rPr>
                    <w:t>硫化氢占标率</w:t>
                  </w:r>
                </w:p>
                <w:p>
                  <w:pPr>
                    <w:jc w:val="center"/>
                    <w:rPr>
                      <w:b/>
                      <w:bCs/>
                      <w:color w:val="000000"/>
                      <w:sz w:val="21"/>
                      <w:szCs w:val="21"/>
                    </w:rPr>
                  </w:pPr>
                  <w:r>
                    <w:rPr>
                      <w:b/>
                      <w:bCs/>
                      <w:color w:val="000000"/>
                      <w:sz w:val="21"/>
                      <w:szCs w:val="21"/>
                    </w:rPr>
                    <w:t>（%）</w:t>
                  </w:r>
                </w:p>
              </w:tc>
              <w:tc>
                <w:tcPr>
                  <w:tcW w:w="1327" w:type="dxa"/>
                  <w:vAlign w:val="center"/>
                </w:tcPr>
                <w:p>
                  <w:pPr>
                    <w:jc w:val="center"/>
                    <w:rPr>
                      <w:b/>
                      <w:bCs/>
                      <w:color w:val="000000"/>
                      <w:sz w:val="21"/>
                      <w:szCs w:val="21"/>
                    </w:rPr>
                  </w:pPr>
                  <w:r>
                    <w:rPr>
                      <w:b/>
                      <w:bCs/>
                      <w:color w:val="000000"/>
                      <w:sz w:val="21"/>
                      <w:szCs w:val="21"/>
                    </w:rPr>
                    <w:t>氨浓度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756" w:type="dxa"/>
                  <w:vAlign w:val="center"/>
                </w:tcPr>
                <w:p>
                  <w:pPr>
                    <w:jc w:val="center"/>
                    <w:rPr>
                      <w:b/>
                      <w:bCs/>
                      <w:color w:val="000000"/>
                      <w:sz w:val="21"/>
                      <w:szCs w:val="21"/>
                    </w:rPr>
                  </w:pPr>
                  <w:r>
                    <w:rPr>
                      <w:b/>
                      <w:bCs/>
                      <w:color w:val="000000"/>
                      <w:sz w:val="21"/>
                      <w:szCs w:val="21"/>
                    </w:rPr>
                    <w:t>氨占标率</w:t>
                  </w:r>
                </w:p>
                <w:p>
                  <w:pPr>
                    <w:jc w:val="center"/>
                    <w:rPr>
                      <w:b/>
                      <w:bCs/>
                      <w:color w:val="000000"/>
                      <w:sz w:val="21"/>
                      <w:szCs w:val="21"/>
                    </w:rPr>
                  </w:pPr>
                  <w:r>
                    <w:rPr>
                      <w:b/>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w:t>
                  </w:r>
                </w:p>
              </w:tc>
              <w:tc>
                <w:tcPr>
                  <w:tcW w:w="1449" w:type="dxa"/>
                  <w:vAlign w:val="center"/>
                </w:tcPr>
                <w:p>
                  <w:pPr>
                    <w:jc w:val="center"/>
                    <w:rPr>
                      <w:sz w:val="21"/>
                      <w:szCs w:val="21"/>
                    </w:rPr>
                  </w:pPr>
                  <w:r>
                    <w:rPr>
                      <w:sz w:val="21"/>
                      <w:szCs w:val="21"/>
                    </w:rPr>
                    <w:t>10.0</w:t>
                  </w:r>
                </w:p>
              </w:tc>
              <w:tc>
                <w:tcPr>
                  <w:tcW w:w="1278" w:type="dxa"/>
                  <w:vAlign w:val="center"/>
                </w:tcPr>
                <w:p>
                  <w:pPr>
                    <w:jc w:val="center"/>
                    <w:rPr>
                      <w:sz w:val="21"/>
                      <w:szCs w:val="21"/>
                    </w:rPr>
                  </w:pPr>
                  <w:r>
                    <w:rPr>
                      <w:sz w:val="21"/>
                      <w:szCs w:val="21"/>
                    </w:rPr>
                    <w:t>0.0027</w:t>
                  </w:r>
                </w:p>
              </w:tc>
              <w:tc>
                <w:tcPr>
                  <w:tcW w:w="1537" w:type="dxa"/>
                  <w:vAlign w:val="center"/>
                </w:tcPr>
                <w:p>
                  <w:pPr>
                    <w:jc w:val="center"/>
                    <w:rPr>
                      <w:sz w:val="21"/>
                      <w:szCs w:val="21"/>
                    </w:rPr>
                  </w:pPr>
                  <w:r>
                    <w:rPr>
                      <w:sz w:val="21"/>
                      <w:szCs w:val="21"/>
                    </w:rPr>
                    <w:t>0.0270</w:t>
                  </w:r>
                </w:p>
              </w:tc>
              <w:tc>
                <w:tcPr>
                  <w:tcW w:w="1327" w:type="dxa"/>
                  <w:vAlign w:val="center"/>
                </w:tcPr>
                <w:p>
                  <w:pPr>
                    <w:jc w:val="center"/>
                    <w:rPr>
                      <w:sz w:val="21"/>
                      <w:szCs w:val="21"/>
                    </w:rPr>
                  </w:pPr>
                  <w:r>
                    <w:rPr>
                      <w:sz w:val="21"/>
                      <w:szCs w:val="21"/>
                    </w:rPr>
                    <w:t>0.8544</w:t>
                  </w:r>
                </w:p>
              </w:tc>
              <w:tc>
                <w:tcPr>
                  <w:tcW w:w="1756" w:type="dxa"/>
                  <w:vAlign w:val="center"/>
                </w:tcPr>
                <w:p>
                  <w:pPr>
                    <w:jc w:val="center"/>
                    <w:rPr>
                      <w:sz w:val="21"/>
                      <w:szCs w:val="21"/>
                    </w:rPr>
                  </w:pPr>
                  <w:r>
                    <w:rPr>
                      <w:sz w:val="21"/>
                      <w:szCs w:val="21"/>
                    </w:rPr>
                    <w:t>0.4272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w:t>
                  </w:r>
                </w:p>
              </w:tc>
              <w:tc>
                <w:tcPr>
                  <w:tcW w:w="1449" w:type="dxa"/>
                  <w:vAlign w:val="center"/>
                </w:tcPr>
                <w:p>
                  <w:pPr>
                    <w:jc w:val="center"/>
                    <w:rPr>
                      <w:sz w:val="21"/>
                      <w:szCs w:val="21"/>
                    </w:rPr>
                  </w:pPr>
                  <w:r>
                    <w:rPr>
                      <w:sz w:val="21"/>
                      <w:szCs w:val="21"/>
                    </w:rPr>
                    <w:t>50.0</w:t>
                  </w:r>
                </w:p>
              </w:tc>
              <w:tc>
                <w:tcPr>
                  <w:tcW w:w="1278" w:type="dxa"/>
                  <w:vAlign w:val="center"/>
                </w:tcPr>
                <w:p>
                  <w:pPr>
                    <w:jc w:val="center"/>
                    <w:rPr>
                      <w:sz w:val="21"/>
                      <w:szCs w:val="21"/>
                    </w:rPr>
                  </w:pPr>
                  <w:r>
                    <w:rPr>
                      <w:sz w:val="21"/>
                      <w:szCs w:val="21"/>
                    </w:rPr>
                    <w:t>0.0038</w:t>
                  </w:r>
                </w:p>
              </w:tc>
              <w:tc>
                <w:tcPr>
                  <w:tcW w:w="1537" w:type="dxa"/>
                  <w:vAlign w:val="center"/>
                </w:tcPr>
                <w:p>
                  <w:pPr>
                    <w:jc w:val="center"/>
                    <w:rPr>
                      <w:sz w:val="21"/>
                      <w:szCs w:val="21"/>
                    </w:rPr>
                  </w:pPr>
                  <w:r>
                    <w:rPr>
                      <w:sz w:val="21"/>
                      <w:szCs w:val="21"/>
                    </w:rPr>
                    <w:t>0.0382</w:t>
                  </w:r>
                </w:p>
              </w:tc>
              <w:tc>
                <w:tcPr>
                  <w:tcW w:w="1327" w:type="dxa"/>
                  <w:vAlign w:val="center"/>
                </w:tcPr>
                <w:p>
                  <w:pPr>
                    <w:jc w:val="center"/>
                    <w:rPr>
                      <w:sz w:val="21"/>
                      <w:szCs w:val="21"/>
                    </w:rPr>
                  </w:pPr>
                  <w:r>
                    <w:rPr>
                      <w:sz w:val="21"/>
                      <w:szCs w:val="21"/>
                    </w:rPr>
                    <w:t>1.2078</w:t>
                  </w:r>
                </w:p>
              </w:tc>
              <w:tc>
                <w:tcPr>
                  <w:tcW w:w="1756" w:type="dxa"/>
                  <w:vAlign w:val="center"/>
                </w:tcPr>
                <w:p>
                  <w:pPr>
                    <w:jc w:val="center"/>
                    <w:rPr>
                      <w:sz w:val="21"/>
                      <w:szCs w:val="21"/>
                    </w:rPr>
                  </w:pPr>
                  <w:r>
                    <w:rPr>
                      <w:sz w:val="21"/>
                      <w:szCs w:val="21"/>
                    </w:rPr>
                    <w:t>0.6039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b/>
                      <w:bCs/>
                      <w:color w:val="000000"/>
                    </w:rPr>
                    <w:t>3</w:t>
                  </w:r>
                </w:p>
              </w:tc>
              <w:tc>
                <w:tcPr>
                  <w:tcW w:w="1449" w:type="dxa"/>
                  <w:vAlign w:val="center"/>
                </w:tcPr>
                <w:p>
                  <w:pPr>
                    <w:jc w:val="center"/>
                    <w:rPr>
                      <w:b/>
                      <w:bCs/>
                      <w:sz w:val="21"/>
                      <w:szCs w:val="21"/>
                    </w:rPr>
                  </w:pPr>
                  <w:r>
                    <w:rPr>
                      <w:b/>
                      <w:bCs/>
                      <w:sz w:val="21"/>
                      <w:szCs w:val="21"/>
                    </w:rPr>
                    <w:t>55.0</w:t>
                  </w:r>
                </w:p>
              </w:tc>
              <w:tc>
                <w:tcPr>
                  <w:tcW w:w="1278" w:type="dxa"/>
                  <w:vAlign w:val="center"/>
                </w:tcPr>
                <w:p>
                  <w:pPr>
                    <w:jc w:val="center"/>
                    <w:rPr>
                      <w:b/>
                      <w:bCs/>
                      <w:sz w:val="21"/>
                      <w:szCs w:val="21"/>
                    </w:rPr>
                  </w:pPr>
                  <w:r>
                    <w:rPr>
                      <w:b/>
                      <w:bCs/>
                      <w:sz w:val="21"/>
                      <w:szCs w:val="21"/>
                    </w:rPr>
                    <w:t>0.0039</w:t>
                  </w:r>
                </w:p>
              </w:tc>
              <w:tc>
                <w:tcPr>
                  <w:tcW w:w="1537" w:type="dxa"/>
                  <w:vAlign w:val="center"/>
                </w:tcPr>
                <w:p>
                  <w:pPr>
                    <w:jc w:val="center"/>
                    <w:rPr>
                      <w:b/>
                      <w:bCs/>
                      <w:sz w:val="21"/>
                      <w:szCs w:val="21"/>
                    </w:rPr>
                  </w:pPr>
                  <w:r>
                    <w:rPr>
                      <w:b/>
                      <w:bCs/>
                      <w:sz w:val="21"/>
                      <w:szCs w:val="21"/>
                    </w:rPr>
                    <w:t>0.0386</w:t>
                  </w:r>
                </w:p>
              </w:tc>
              <w:tc>
                <w:tcPr>
                  <w:tcW w:w="1327" w:type="dxa"/>
                  <w:vAlign w:val="center"/>
                </w:tcPr>
                <w:p>
                  <w:pPr>
                    <w:jc w:val="center"/>
                    <w:rPr>
                      <w:b/>
                      <w:bCs/>
                      <w:sz w:val="21"/>
                      <w:szCs w:val="21"/>
                    </w:rPr>
                  </w:pPr>
                  <w:r>
                    <w:rPr>
                      <w:b/>
                      <w:bCs/>
                      <w:sz w:val="21"/>
                      <w:szCs w:val="21"/>
                    </w:rPr>
                    <w:t>1.2182</w:t>
                  </w:r>
                </w:p>
              </w:tc>
              <w:tc>
                <w:tcPr>
                  <w:tcW w:w="1756" w:type="dxa"/>
                  <w:vAlign w:val="center"/>
                </w:tcPr>
                <w:p>
                  <w:pPr>
                    <w:jc w:val="center"/>
                    <w:rPr>
                      <w:b/>
                      <w:bCs/>
                      <w:sz w:val="21"/>
                      <w:szCs w:val="21"/>
                    </w:rPr>
                  </w:pPr>
                  <w:r>
                    <w:rPr>
                      <w:b/>
                      <w:bCs/>
                      <w:sz w:val="21"/>
                      <w:szCs w:val="21"/>
                    </w:rPr>
                    <w:t>0.6091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color w:val="000000"/>
                    </w:rPr>
                    <w:t>4</w:t>
                  </w:r>
                </w:p>
              </w:tc>
              <w:tc>
                <w:tcPr>
                  <w:tcW w:w="1449" w:type="dxa"/>
                  <w:vAlign w:val="center"/>
                </w:tcPr>
                <w:p>
                  <w:pPr>
                    <w:jc w:val="center"/>
                    <w:rPr>
                      <w:sz w:val="21"/>
                      <w:szCs w:val="21"/>
                    </w:rPr>
                  </w:pPr>
                  <w:r>
                    <w:rPr>
                      <w:sz w:val="21"/>
                      <w:szCs w:val="21"/>
                    </w:rPr>
                    <w:t>100.0</w:t>
                  </w:r>
                </w:p>
              </w:tc>
              <w:tc>
                <w:tcPr>
                  <w:tcW w:w="1278" w:type="dxa"/>
                  <w:vAlign w:val="center"/>
                </w:tcPr>
                <w:p>
                  <w:pPr>
                    <w:jc w:val="center"/>
                    <w:rPr>
                      <w:sz w:val="21"/>
                      <w:szCs w:val="21"/>
                    </w:rPr>
                  </w:pPr>
                  <w:r>
                    <w:rPr>
                      <w:sz w:val="21"/>
                      <w:szCs w:val="21"/>
                    </w:rPr>
                    <w:t>0.0030</w:t>
                  </w:r>
                </w:p>
              </w:tc>
              <w:tc>
                <w:tcPr>
                  <w:tcW w:w="1537" w:type="dxa"/>
                  <w:vAlign w:val="center"/>
                </w:tcPr>
                <w:p>
                  <w:pPr>
                    <w:jc w:val="center"/>
                    <w:rPr>
                      <w:sz w:val="21"/>
                      <w:szCs w:val="21"/>
                    </w:rPr>
                  </w:pPr>
                  <w:r>
                    <w:rPr>
                      <w:sz w:val="21"/>
                      <w:szCs w:val="21"/>
                    </w:rPr>
                    <w:t>0.0296</w:t>
                  </w:r>
                </w:p>
              </w:tc>
              <w:tc>
                <w:tcPr>
                  <w:tcW w:w="1327" w:type="dxa"/>
                  <w:vAlign w:val="center"/>
                </w:tcPr>
                <w:p>
                  <w:pPr>
                    <w:jc w:val="center"/>
                    <w:rPr>
                      <w:sz w:val="21"/>
                      <w:szCs w:val="21"/>
                    </w:rPr>
                  </w:pPr>
                  <w:r>
                    <w:rPr>
                      <w:sz w:val="21"/>
                      <w:szCs w:val="21"/>
                    </w:rPr>
                    <w:t>0.9348</w:t>
                  </w:r>
                </w:p>
              </w:tc>
              <w:tc>
                <w:tcPr>
                  <w:tcW w:w="1756" w:type="dxa"/>
                  <w:vAlign w:val="center"/>
                </w:tcPr>
                <w:p>
                  <w:pPr>
                    <w:jc w:val="center"/>
                    <w:rPr>
                      <w:sz w:val="21"/>
                      <w:szCs w:val="21"/>
                    </w:rPr>
                  </w:pPr>
                  <w:r>
                    <w:rPr>
                      <w:sz w:val="21"/>
                      <w:szCs w:val="21"/>
                    </w:rPr>
                    <w:t>0.4674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5</w:t>
                  </w:r>
                </w:p>
              </w:tc>
              <w:tc>
                <w:tcPr>
                  <w:tcW w:w="1449" w:type="dxa"/>
                  <w:vAlign w:val="center"/>
                </w:tcPr>
                <w:p>
                  <w:pPr>
                    <w:jc w:val="center"/>
                    <w:rPr>
                      <w:sz w:val="21"/>
                      <w:szCs w:val="21"/>
                    </w:rPr>
                  </w:pPr>
                  <w:r>
                    <w:rPr>
                      <w:sz w:val="21"/>
                      <w:szCs w:val="21"/>
                    </w:rPr>
                    <w:t>200.0</w:t>
                  </w:r>
                </w:p>
              </w:tc>
              <w:tc>
                <w:tcPr>
                  <w:tcW w:w="1278" w:type="dxa"/>
                  <w:vAlign w:val="center"/>
                </w:tcPr>
                <w:p>
                  <w:pPr>
                    <w:jc w:val="center"/>
                    <w:rPr>
                      <w:sz w:val="21"/>
                      <w:szCs w:val="21"/>
                    </w:rPr>
                  </w:pPr>
                  <w:r>
                    <w:rPr>
                      <w:sz w:val="21"/>
                      <w:szCs w:val="21"/>
                    </w:rPr>
                    <w:t>0.0017</w:t>
                  </w:r>
                </w:p>
              </w:tc>
              <w:tc>
                <w:tcPr>
                  <w:tcW w:w="1537" w:type="dxa"/>
                  <w:vAlign w:val="center"/>
                </w:tcPr>
                <w:p>
                  <w:pPr>
                    <w:jc w:val="center"/>
                    <w:rPr>
                      <w:sz w:val="21"/>
                      <w:szCs w:val="21"/>
                    </w:rPr>
                  </w:pPr>
                  <w:r>
                    <w:rPr>
                      <w:sz w:val="21"/>
                      <w:szCs w:val="21"/>
                    </w:rPr>
                    <w:t>0.0172</w:t>
                  </w:r>
                </w:p>
              </w:tc>
              <w:tc>
                <w:tcPr>
                  <w:tcW w:w="1327" w:type="dxa"/>
                  <w:vAlign w:val="center"/>
                </w:tcPr>
                <w:p>
                  <w:pPr>
                    <w:jc w:val="center"/>
                    <w:rPr>
                      <w:sz w:val="21"/>
                      <w:szCs w:val="21"/>
                    </w:rPr>
                  </w:pPr>
                  <w:r>
                    <w:rPr>
                      <w:sz w:val="21"/>
                      <w:szCs w:val="21"/>
                    </w:rPr>
                    <w:t>0.5428</w:t>
                  </w:r>
                </w:p>
              </w:tc>
              <w:tc>
                <w:tcPr>
                  <w:tcW w:w="1756" w:type="dxa"/>
                  <w:vAlign w:val="center"/>
                </w:tcPr>
                <w:p>
                  <w:pPr>
                    <w:jc w:val="center"/>
                    <w:rPr>
                      <w:sz w:val="21"/>
                      <w:szCs w:val="21"/>
                    </w:rPr>
                  </w:pPr>
                  <w:r>
                    <w:rPr>
                      <w:sz w:val="21"/>
                      <w:szCs w:val="21"/>
                    </w:rPr>
                    <w:t>0.2714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6</w:t>
                  </w:r>
                </w:p>
              </w:tc>
              <w:tc>
                <w:tcPr>
                  <w:tcW w:w="1449" w:type="dxa"/>
                  <w:vAlign w:val="center"/>
                </w:tcPr>
                <w:p>
                  <w:pPr>
                    <w:jc w:val="center"/>
                    <w:rPr>
                      <w:sz w:val="21"/>
                      <w:szCs w:val="21"/>
                    </w:rPr>
                  </w:pPr>
                  <w:r>
                    <w:rPr>
                      <w:sz w:val="21"/>
                      <w:szCs w:val="21"/>
                    </w:rPr>
                    <w:t>300.0</w:t>
                  </w:r>
                </w:p>
              </w:tc>
              <w:tc>
                <w:tcPr>
                  <w:tcW w:w="1278" w:type="dxa"/>
                  <w:vAlign w:val="center"/>
                </w:tcPr>
                <w:p>
                  <w:pPr>
                    <w:jc w:val="center"/>
                    <w:rPr>
                      <w:sz w:val="21"/>
                      <w:szCs w:val="21"/>
                    </w:rPr>
                  </w:pPr>
                  <w:r>
                    <w:rPr>
                      <w:sz w:val="21"/>
                      <w:szCs w:val="21"/>
                    </w:rPr>
                    <w:t>0.0013</w:t>
                  </w:r>
                </w:p>
              </w:tc>
              <w:tc>
                <w:tcPr>
                  <w:tcW w:w="1537" w:type="dxa"/>
                  <w:vAlign w:val="center"/>
                </w:tcPr>
                <w:p>
                  <w:pPr>
                    <w:jc w:val="center"/>
                    <w:rPr>
                      <w:sz w:val="21"/>
                      <w:szCs w:val="21"/>
                    </w:rPr>
                  </w:pPr>
                  <w:r>
                    <w:rPr>
                      <w:sz w:val="21"/>
                      <w:szCs w:val="21"/>
                    </w:rPr>
                    <w:t>0.0129</w:t>
                  </w:r>
                </w:p>
              </w:tc>
              <w:tc>
                <w:tcPr>
                  <w:tcW w:w="1327" w:type="dxa"/>
                  <w:vAlign w:val="center"/>
                </w:tcPr>
                <w:p>
                  <w:pPr>
                    <w:jc w:val="center"/>
                    <w:rPr>
                      <w:sz w:val="21"/>
                      <w:szCs w:val="21"/>
                    </w:rPr>
                  </w:pPr>
                  <w:r>
                    <w:rPr>
                      <w:sz w:val="21"/>
                      <w:szCs w:val="21"/>
                    </w:rPr>
                    <w:t>0.4062</w:t>
                  </w:r>
                </w:p>
              </w:tc>
              <w:tc>
                <w:tcPr>
                  <w:tcW w:w="1756" w:type="dxa"/>
                  <w:vAlign w:val="center"/>
                </w:tcPr>
                <w:p>
                  <w:pPr>
                    <w:jc w:val="center"/>
                    <w:rPr>
                      <w:sz w:val="21"/>
                      <w:szCs w:val="21"/>
                    </w:rPr>
                  </w:pPr>
                  <w:r>
                    <w:rPr>
                      <w:sz w:val="21"/>
                      <w:szCs w:val="21"/>
                    </w:rPr>
                    <w:t>0.2031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7</w:t>
                  </w:r>
                </w:p>
              </w:tc>
              <w:tc>
                <w:tcPr>
                  <w:tcW w:w="1449" w:type="dxa"/>
                  <w:vAlign w:val="center"/>
                </w:tcPr>
                <w:p>
                  <w:pPr>
                    <w:jc w:val="center"/>
                    <w:rPr>
                      <w:sz w:val="21"/>
                      <w:szCs w:val="21"/>
                    </w:rPr>
                  </w:pPr>
                  <w:r>
                    <w:rPr>
                      <w:sz w:val="21"/>
                      <w:szCs w:val="21"/>
                    </w:rPr>
                    <w:t>400.0</w:t>
                  </w:r>
                </w:p>
              </w:tc>
              <w:tc>
                <w:tcPr>
                  <w:tcW w:w="1278" w:type="dxa"/>
                  <w:vAlign w:val="center"/>
                </w:tcPr>
                <w:p>
                  <w:pPr>
                    <w:jc w:val="center"/>
                    <w:rPr>
                      <w:sz w:val="21"/>
                      <w:szCs w:val="21"/>
                    </w:rPr>
                  </w:pPr>
                  <w:r>
                    <w:rPr>
                      <w:sz w:val="21"/>
                      <w:szCs w:val="21"/>
                    </w:rPr>
                    <w:t>0.0010</w:t>
                  </w:r>
                </w:p>
              </w:tc>
              <w:tc>
                <w:tcPr>
                  <w:tcW w:w="1537" w:type="dxa"/>
                  <w:vAlign w:val="center"/>
                </w:tcPr>
                <w:p>
                  <w:pPr>
                    <w:jc w:val="center"/>
                    <w:rPr>
                      <w:sz w:val="21"/>
                      <w:szCs w:val="21"/>
                    </w:rPr>
                  </w:pPr>
                  <w:r>
                    <w:rPr>
                      <w:sz w:val="21"/>
                      <w:szCs w:val="21"/>
                    </w:rPr>
                    <w:t>0.0105</w:t>
                  </w:r>
                </w:p>
              </w:tc>
              <w:tc>
                <w:tcPr>
                  <w:tcW w:w="1327" w:type="dxa"/>
                  <w:vAlign w:val="center"/>
                </w:tcPr>
                <w:p>
                  <w:pPr>
                    <w:jc w:val="center"/>
                    <w:rPr>
                      <w:sz w:val="21"/>
                      <w:szCs w:val="21"/>
                    </w:rPr>
                  </w:pPr>
                  <w:r>
                    <w:rPr>
                      <w:sz w:val="21"/>
                      <w:szCs w:val="21"/>
                    </w:rPr>
                    <w:t>0.3312</w:t>
                  </w:r>
                </w:p>
              </w:tc>
              <w:tc>
                <w:tcPr>
                  <w:tcW w:w="1756" w:type="dxa"/>
                  <w:vAlign w:val="center"/>
                </w:tcPr>
                <w:p>
                  <w:pPr>
                    <w:jc w:val="center"/>
                    <w:rPr>
                      <w:sz w:val="21"/>
                      <w:szCs w:val="21"/>
                    </w:rPr>
                  </w:pPr>
                  <w:r>
                    <w:rPr>
                      <w:sz w:val="21"/>
                      <w:szCs w:val="21"/>
                    </w:rPr>
                    <w:t>0.1656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8</w:t>
                  </w:r>
                </w:p>
              </w:tc>
              <w:tc>
                <w:tcPr>
                  <w:tcW w:w="1449" w:type="dxa"/>
                  <w:vAlign w:val="center"/>
                </w:tcPr>
                <w:p>
                  <w:pPr>
                    <w:jc w:val="center"/>
                    <w:rPr>
                      <w:sz w:val="21"/>
                      <w:szCs w:val="21"/>
                    </w:rPr>
                  </w:pPr>
                  <w:r>
                    <w:rPr>
                      <w:sz w:val="21"/>
                      <w:szCs w:val="21"/>
                    </w:rPr>
                    <w:t>500.0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0.0095</w:t>
                  </w:r>
                </w:p>
              </w:tc>
              <w:tc>
                <w:tcPr>
                  <w:tcW w:w="1327" w:type="dxa"/>
                  <w:vAlign w:val="center"/>
                </w:tcPr>
                <w:p>
                  <w:pPr>
                    <w:jc w:val="center"/>
                    <w:rPr>
                      <w:sz w:val="21"/>
                      <w:szCs w:val="21"/>
                    </w:rPr>
                  </w:pPr>
                  <w:r>
                    <w:rPr>
                      <w:sz w:val="21"/>
                      <w:szCs w:val="21"/>
                    </w:rPr>
                    <w:t>0.2990</w:t>
                  </w:r>
                </w:p>
              </w:tc>
              <w:tc>
                <w:tcPr>
                  <w:tcW w:w="1756" w:type="dxa"/>
                  <w:vAlign w:val="center"/>
                </w:tcPr>
                <w:p>
                  <w:pPr>
                    <w:jc w:val="center"/>
                    <w:rPr>
                      <w:sz w:val="21"/>
                      <w:szCs w:val="21"/>
                    </w:rPr>
                  </w:pPr>
                  <w:r>
                    <w:rPr>
                      <w:sz w:val="21"/>
                      <w:szCs w:val="21"/>
                    </w:rPr>
                    <w:t>0.1495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9</w:t>
                  </w:r>
                </w:p>
              </w:tc>
              <w:tc>
                <w:tcPr>
                  <w:tcW w:w="1449" w:type="dxa"/>
                  <w:vAlign w:val="center"/>
                </w:tcPr>
                <w:p>
                  <w:pPr>
                    <w:jc w:val="center"/>
                    <w:rPr>
                      <w:sz w:val="21"/>
                      <w:szCs w:val="21"/>
                    </w:rPr>
                  </w:pPr>
                  <w:r>
                    <w:rPr>
                      <w:sz w:val="21"/>
                      <w:szCs w:val="21"/>
                    </w:rPr>
                    <w:t>600.0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0.0089</w:t>
                  </w:r>
                </w:p>
              </w:tc>
              <w:tc>
                <w:tcPr>
                  <w:tcW w:w="1327" w:type="dxa"/>
                  <w:vAlign w:val="center"/>
                </w:tcPr>
                <w:p>
                  <w:pPr>
                    <w:jc w:val="center"/>
                    <w:rPr>
                      <w:sz w:val="21"/>
                      <w:szCs w:val="21"/>
                    </w:rPr>
                  </w:pPr>
                  <w:r>
                    <w:rPr>
                      <w:sz w:val="21"/>
                      <w:szCs w:val="21"/>
                    </w:rPr>
                    <w:t>0.2817</w:t>
                  </w:r>
                </w:p>
              </w:tc>
              <w:tc>
                <w:tcPr>
                  <w:tcW w:w="1756" w:type="dxa"/>
                  <w:vAlign w:val="center"/>
                </w:tcPr>
                <w:p>
                  <w:pPr>
                    <w:jc w:val="center"/>
                    <w:rPr>
                      <w:sz w:val="21"/>
                      <w:szCs w:val="21"/>
                    </w:rPr>
                  </w:pPr>
                  <w:r>
                    <w:rPr>
                      <w:sz w:val="21"/>
                      <w:szCs w:val="21"/>
                    </w:rPr>
                    <w:t>0.1408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10</w:t>
                  </w:r>
                </w:p>
              </w:tc>
              <w:tc>
                <w:tcPr>
                  <w:tcW w:w="1449" w:type="dxa"/>
                  <w:vAlign w:val="center"/>
                </w:tcPr>
                <w:p>
                  <w:pPr>
                    <w:jc w:val="center"/>
                    <w:rPr>
                      <w:sz w:val="21"/>
                      <w:szCs w:val="21"/>
                    </w:rPr>
                  </w:pPr>
                  <w:r>
                    <w:rPr>
                      <w:sz w:val="21"/>
                      <w:szCs w:val="21"/>
                    </w:rPr>
                    <w:t>700.0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0.0084</w:t>
                  </w:r>
                </w:p>
              </w:tc>
              <w:tc>
                <w:tcPr>
                  <w:tcW w:w="1327" w:type="dxa"/>
                  <w:vAlign w:val="center"/>
                </w:tcPr>
                <w:p>
                  <w:pPr>
                    <w:jc w:val="center"/>
                    <w:rPr>
                      <w:sz w:val="21"/>
                      <w:szCs w:val="21"/>
                    </w:rPr>
                  </w:pPr>
                  <w:r>
                    <w:rPr>
                      <w:sz w:val="21"/>
                      <w:szCs w:val="21"/>
                    </w:rPr>
                    <w:t>0.2669</w:t>
                  </w:r>
                </w:p>
              </w:tc>
              <w:tc>
                <w:tcPr>
                  <w:tcW w:w="1756" w:type="dxa"/>
                  <w:vAlign w:val="center"/>
                </w:tcPr>
                <w:p>
                  <w:pPr>
                    <w:jc w:val="center"/>
                    <w:rPr>
                      <w:sz w:val="21"/>
                      <w:szCs w:val="21"/>
                    </w:rPr>
                  </w:pPr>
                  <w:r>
                    <w:rPr>
                      <w:sz w:val="21"/>
                      <w:szCs w:val="21"/>
                    </w:rPr>
                    <w:t>0.1334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11</w:t>
                  </w:r>
                </w:p>
              </w:tc>
              <w:tc>
                <w:tcPr>
                  <w:tcW w:w="1449" w:type="dxa"/>
                  <w:vAlign w:val="center"/>
                </w:tcPr>
                <w:p>
                  <w:pPr>
                    <w:jc w:val="center"/>
                    <w:rPr>
                      <w:sz w:val="21"/>
                      <w:szCs w:val="21"/>
                    </w:rPr>
                  </w:pPr>
                  <w:r>
                    <w:rPr>
                      <w:sz w:val="21"/>
                      <w:szCs w:val="21"/>
                    </w:rPr>
                    <w:t>800.0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0.0081</w:t>
                  </w:r>
                </w:p>
              </w:tc>
              <w:tc>
                <w:tcPr>
                  <w:tcW w:w="1327" w:type="dxa"/>
                  <w:vAlign w:val="center"/>
                </w:tcPr>
                <w:p>
                  <w:pPr>
                    <w:jc w:val="center"/>
                    <w:rPr>
                      <w:sz w:val="21"/>
                      <w:szCs w:val="21"/>
                    </w:rPr>
                  </w:pPr>
                  <w:r>
                    <w:rPr>
                      <w:sz w:val="21"/>
                      <w:szCs w:val="21"/>
                    </w:rPr>
                    <w:t>0.2554</w:t>
                  </w:r>
                </w:p>
              </w:tc>
              <w:tc>
                <w:tcPr>
                  <w:tcW w:w="1756" w:type="dxa"/>
                  <w:vAlign w:val="center"/>
                </w:tcPr>
                <w:p>
                  <w:pPr>
                    <w:jc w:val="center"/>
                    <w:rPr>
                      <w:sz w:val="21"/>
                      <w:szCs w:val="21"/>
                    </w:rPr>
                  </w:pPr>
                  <w:r>
                    <w:rPr>
                      <w:sz w:val="21"/>
                      <w:szCs w:val="21"/>
                    </w:rPr>
                    <w:t>0.1277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12</w:t>
                  </w:r>
                </w:p>
              </w:tc>
              <w:tc>
                <w:tcPr>
                  <w:tcW w:w="1449" w:type="dxa"/>
                  <w:vAlign w:val="center"/>
                </w:tcPr>
                <w:p>
                  <w:pPr>
                    <w:jc w:val="center"/>
                    <w:rPr>
                      <w:sz w:val="21"/>
                      <w:szCs w:val="21"/>
                    </w:rPr>
                  </w:pPr>
                  <w:r>
                    <w:rPr>
                      <w:sz w:val="21"/>
                      <w:szCs w:val="21"/>
                    </w:rPr>
                    <w:t>900.0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0.0077</w:t>
                  </w:r>
                </w:p>
              </w:tc>
              <w:tc>
                <w:tcPr>
                  <w:tcW w:w="1327" w:type="dxa"/>
                  <w:vAlign w:val="center"/>
                </w:tcPr>
                <w:p>
                  <w:pPr>
                    <w:jc w:val="center"/>
                    <w:rPr>
                      <w:sz w:val="21"/>
                      <w:szCs w:val="21"/>
                    </w:rPr>
                  </w:pPr>
                  <w:r>
                    <w:rPr>
                      <w:sz w:val="21"/>
                      <w:szCs w:val="21"/>
                    </w:rPr>
                    <w:t>0.2440</w:t>
                  </w:r>
                </w:p>
              </w:tc>
              <w:tc>
                <w:tcPr>
                  <w:tcW w:w="1756" w:type="dxa"/>
                  <w:vAlign w:val="center"/>
                </w:tcPr>
                <w:p>
                  <w:pPr>
                    <w:jc w:val="center"/>
                    <w:rPr>
                      <w:sz w:val="21"/>
                      <w:szCs w:val="21"/>
                    </w:rPr>
                  </w:pPr>
                  <w:r>
                    <w:rPr>
                      <w:sz w:val="21"/>
                      <w:szCs w:val="21"/>
                    </w:rPr>
                    <w:t>0.1220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13</w:t>
                  </w:r>
                </w:p>
              </w:tc>
              <w:tc>
                <w:tcPr>
                  <w:tcW w:w="1449" w:type="dxa"/>
                  <w:vAlign w:val="center"/>
                </w:tcPr>
                <w:p>
                  <w:pPr>
                    <w:jc w:val="center"/>
                    <w:rPr>
                      <w:sz w:val="21"/>
                      <w:szCs w:val="21"/>
                    </w:rPr>
                  </w:pPr>
                  <w:r>
                    <w:rPr>
                      <w:sz w:val="21"/>
                      <w:szCs w:val="21"/>
                    </w:rPr>
                    <w:t>1000.0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0.0074</w:t>
                  </w:r>
                </w:p>
              </w:tc>
              <w:tc>
                <w:tcPr>
                  <w:tcW w:w="1327" w:type="dxa"/>
                  <w:vAlign w:val="center"/>
                </w:tcPr>
                <w:p>
                  <w:pPr>
                    <w:jc w:val="center"/>
                    <w:rPr>
                      <w:sz w:val="21"/>
                      <w:szCs w:val="21"/>
                    </w:rPr>
                  </w:pPr>
                  <w:r>
                    <w:rPr>
                      <w:sz w:val="21"/>
                      <w:szCs w:val="21"/>
                    </w:rPr>
                    <w:t>0.2337</w:t>
                  </w:r>
                </w:p>
              </w:tc>
              <w:tc>
                <w:tcPr>
                  <w:tcW w:w="1756" w:type="dxa"/>
                  <w:vAlign w:val="center"/>
                </w:tcPr>
                <w:p>
                  <w:pPr>
                    <w:jc w:val="center"/>
                    <w:rPr>
                      <w:sz w:val="21"/>
                      <w:szCs w:val="21"/>
                    </w:rPr>
                  </w:pPr>
                  <w:r>
                    <w:rPr>
                      <w:sz w:val="21"/>
                      <w:szCs w:val="21"/>
                    </w:rPr>
                    <w:t>0.1168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14</w:t>
                  </w:r>
                </w:p>
              </w:tc>
              <w:tc>
                <w:tcPr>
                  <w:tcW w:w="1449" w:type="dxa"/>
                  <w:vAlign w:val="center"/>
                </w:tcPr>
                <w:p>
                  <w:pPr>
                    <w:jc w:val="center"/>
                    <w:rPr>
                      <w:sz w:val="21"/>
                      <w:szCs w:val="21"/>
                    </w:rPr>
                  </w:pPr>
                  <w:r>
                    <w:rPr>
                      <w:sz w:val="21"/>
                      <w:szCs w:val="21"/>
                    </w:rPr>
                    <w:t>1100.0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0.0071</w:t>
                  </w:r>
                </w:p>
              </w:tc>
              <w:tc>
                <w:tcPr>
                  <w:tcW w:w="1327" w:type="dxa"/>
                  <w:vAlign w:val="center"/>
                </w:tcPr>
                <w:p>
                  <w:pPr>
                    <w:jc w:val="center"/>
                    <w:rPr>
                      <w:sz w:val="21"/>
                      <w:szCs w:val="21"/>
                    </w:rPr>
                  </w:pPr>
                  <w:r>
                    <w:rPr>
                      <w:sz w:val="21"/>
                      <w:szCs w:val="21"/>
                    </w:rPr>
                    <w:t>0.2242</w:t>
                  </w:r>
                </w:p>
              </w:tc>
              <w:tc>
                <w:tcPr>
                  <w:tcW w:w="1756" w:type="dxa"/>
                  <w:vAlign w:val="center"/>
                </w:tcPr>
                <w:p>
                  <w:pPr>
                    <w:jc w:val="center"/>
                    <w:rPr>
                      <w:sz w:val="21"/>
                      <w:szCs w:val="21"/>
                    </w:rPr>
                  </w:pPr>
                  <w:r>
                    <w:rPr>
                      <w:sz w:val="21"/>
                      <w:szCs w:val="21"/>
                    </w:rPr>
                    <w:t>0.1121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15</w:t>
                  </w:r>
                </w:p>
              </w:tc>
              <w:tc>
                <w:tcPr>
                  <w:tcW w:w="1449" w:type="dxa"/>
                  <w:vAlign w:val="center"/>
                </w:tcPr>
                <w:p>
                  <w:pPr>
                    <w:jc w:val="center"/>
                    <w:rPr>
                      <w:sz w:val="21"/>
                      <w:szCs w:val="21"/>
                    </w:rPr>
                  </w:pPr>
                  <w:r>
                    <w:rPr>
                      <w:sz w:val="21"/>
                      <w:szCs w:val="21"/>
                    </w:rPr>
                    <w:t>1200.0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0.0068</w:t>
                  </w:r>
                </w:p>
              </w:tc>
              <w:tc>
                <w:tcPr>
                  <w:tcW w:w="1327" w:type="dxa"/>
                  <w:vAlign w:val="center"/>
                </w:tcPr>
                <w:p>
                  <w:pPr>
                    <w:jc w:val="center"/>
                    <w:rPr>
                      <w:sz w:val="21"/>
                      <w:szCs w:val="21"/>
                    </w:rPr>
                  </w:pPr>
                  <w:r>
                    <w:rPr>
                      <w:sz w:val="21"/>
                      <w:szCs w:val="21"/>
                    </w:rPr>
                    <w:t>0.2156</w:t>
                  </w:r>
                </w:p>
              </w:tc>
              <w:tc>
                <w:tcPr>
                  <w:tcW w:w="1756" w:type="dxa"/>
                  <w:vAlign w:val="center"/>
                </w:tcPr>
                <w:p>
                  <w:pPr>
                    <w:jc w:val="center"/>
                    <w:rPr>
                      <w:sz w:val="21"/>
                      <w:szCs w:val="21"/>
                    </w:rPr>
                  </w:pPr>
                  <w:r>
                    <w:rPr>
                      <w:sz w:val="21"/>
                      <w:szCs w:val="21"/>
                    </w:rPr>
                    <w:t>0.1078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16</w:t>
                  </w:r>
                </w:p>
              </w:tc>
              <w:tc>
                <w:tcPr>
                  <w:tcW w:w="1449" w:type="dxa"/>
                  <w:vAlign w:val="center"/>
                </w:tcPr>
                <w:p>
                  <w:pPr>
                    <w:jc w:val="center"/>
                    <w:rPr>
                      <w:sz w:val="21"/>
                      <w:szCs w:val="21"/>
                    </w:rPr>
                  </w:pPr>
                  <w:r>
                    <w:rPr>
                      <w:sz w:val="21"/>
                      <w:szCs w:val="21"/>
                    </w:rPr>
                    <w:t>1300.0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0.0066</w:t>
                  </w:r>
                </w:p>
              </w:tc>
              <w:tc>
                <w:tcPr>
                  <w:tcW w:w="1327" w:type="dxa"/>
                  <w:vAlign w:val="center"/>
                </w:tcPr>
                <w:p>
                  <w:pPr>
                    <w:jc w:val="center"/>
                    <w:rPr>
                      <w:sz w:val="21"/>
                      <w:szCs w:val="21"/>
                    </w:rPr>
                  </w:pPr>
                  <w:r>
                    <w:rPr>
                      <w:sz w:val="21"/>
                      <w:szCs w:val="21"/>
                    </w:rPr>
                    <w:t>0.2075</w:t>
                  </w:r>
                </w:p>
              </w:tc>
              <w:tc>
                <w:tcPr>
                  <w:tcW w:w="1756" w:type="dxa"/>
                  <w:vAlign w:val="center"/>
                </w:tcPr>
                <w:p>
                  <w:pPr>
                    <w:jc w:val="center"/>
                    <w:rPr>
                      <w:sz w:val="21"/>
                      <w:szCs w:val="21"/>
                    </w:rPr>
                  </w:pPr>
                  <w:r>
                    <w:rPr>
                      <w:sz w:val="21"/>
                      <w:szCs w:val="21"/>
                    </w:rPr>
                    <w:t>0.1038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17</w:t>
                  </w:r>
                </w:p>
              </w:tc>
              <w:tc>
                <w:tcPr>
                  <w:tcW w:w="1449" w:type="dxa"/>
                  <w:vAlign w:val="center"/>
                </w:tcPr>
                <w:p>
                  <w:pPr>
                    <w:jc w:val="center"/>
                    <w:rPr>
                      <w:sz w:val="21"/>
                      <w:szCs w:val="21"/>
                    </w:rPr>
                  </w:pPr>
                  <w:r>
                    <w:rPr>
                      <w:sz w:val="21"/>
                      <w:szCs w:val="21"/>
                    </w:rPr>
                    <w:t>1400.0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0.0063</w:t>
                  </w:r>
                </w:p>
              </w:tc>
              <w:tc>
                <w:tcPr>
                  <w:tcW w:w="1327" w:type="dxa"/>
                  <w:vAlign w:val="center"/>
                </w:tcPr>
                <w:p>
                  <w:pPr>
                    <w:jc w:val="center"/>
                    <w:rPr>
                      <w:sz w:val="21"/>
                      <w:szCs w:val="21"/>
                    </w:rPr>
                  </w:pPr>
                  <w:r>
                    <w:rPr>
                      <w:sz w:val="21"/>
                      <w:szCs w:val="21"/>
                    </w:rPr>
                    <w:t>0.2001</w:t>
                  </w:r>
                </w:p>
              </w:tc>
              <w:tc>
                <w:tcPr>
                  <w:tcW w:w="1756" w:type="dxa"/>
                  <w:vAlign w:val="center"/>
                </w:tcPr>
                <w:p>
                  <w:pPr>
                    <w:jc w:val="center"/>
                    <w:rPr>
                      <w:sz w:val="21"/>
                      <w:szCs w:val="21"/>
                    </w:rPr>
                  </w:pPr>
                  <w:r>
                    <w:rPr>
                      <w:sz w:val="21"/>
                      <w:szCs w:val="21"/>
                    </w:rPr>
                    <w:t>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18</w:t>
                  </w:r>
                </w:p>
              </w:tc>
              <w:tc>
                <w:tcPr>
                  <w:tcW w:w="1449" w:type="dxa"/>
                  <w:vAlign w:val="center"/>
                </w:tcPr>
                <w:p>
                  <w:pPr>
                    <w:jc w:val="center"/>
                    <w:rPr>
                      <w:sz w:val="21"/>
                      <w:szCs w:val="21"/>
                    </w:rPr>
                  </w:pPr>
                  <w:r>
                    <w:rPr>
                      <w:sz w:val="21"/>
                      <w:szCs w:val="21"/>
                    </w:rPr>
                    <w:t>1500.0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0.0061</w:t>
                  </w:r>
                </w:p>
              </w:tc>
              <w:tc>
                <w:tcPr>
                  <w:tcW w:w="1327" w:type="dxa"/>
                  <w:vAlign w:val="center"/>
                </w:tcPr>
                <w:p>
                  <w:pPr>
                    <w:jc w:val="center"/>
                    <w:rPr>
                      <w:sz w:val="21"/>
                      <w:szCs w:val="21"/>
                    </w:rPr>
                  </w:pPr>
                  <w:r>
                    <w:rPr>
                      <w:sz w:val="21"/>
                      <w:szCs w:val="21"/>
                    </w:rPr>
                    <w:t>0.1931</w:t>
                  </w:r>
                </w:p>
              </w:tc>
              <w:tc>
                <w:tcPr>
                  <w:tcW w:w="1756" w:type="dxa"/>
                  <w:vAlign w:val="center"/>
                </w:tcPr>
                <w:p>
                  <w:pPr>
                    <w:jc w:val="center"/>
                    <w:rPr>
                      <w:sz w:val="21"/>
                      <w:szCs w:val="21"/>
                    </w:rPr>
                  </w:pPr>
                  <w:r>
                    <w:rPr>
                      <w:sz w:val="21"/>
                      <w:szCs w:val="21"/>
                    </w:rPr>
                    <w:t>0.0965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19</w:t>
                  </w:r>
                </w:p>
              </w:tc>
              <w:tc>
                <w:tcPr>
                  <w:tcW w:w="1449" w:type="dxa"/>
                  <w:vAlign w:val="center"/>
                </w:tcPr>
                <w:p>
                  <w:pPr>
                    <w:jc w:val="center"/>
                    <w:rPr>
                      <w:sz w:val="21"/>
                      <w:szCs w:val="21"/>
                    </w:rPr>
                  </w:pPr>
                  <w:r>
                    <w:rPr>
                      <w:sz w:val="21"/>
                      <w:szCs w:val="21"/>
                    </w:rPr>
                    <w:t>1600.0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0.0059</w:t>
                  </w:r>
                </w:p>
              </w:tc>
              <w:tc>
                <w:tcPr>
                  <w:tcW w:w="1327" w:type="dxa"/>
                  <w:vAlign w:val="center"/>
                </w:tcPr>
                <w:p>
                  <w:pPr>
                    <w:jc w:val="center"/>
                    <w:rPr>
                      <w:sz w:val="21"/>
                      <w:szCs w:val="21"/>
                    </w:rPr>
                  </w:pPr>
                  <w:r>
                    <w:rPr>
                      <w:sz w:val="21"/>
                      <w:szCs w:val="21"/>
                    </w:rPr>
                    <w:t>0.1865</w:t>
                  </w:r>
                </w:p>
              </w:tc>
              <w:tc>
                <w:tcPr>
                  <w:tcW w:w="1756" w:type="dxa"/>
                  <w:vAlign w:val="center"/>
                </w:tcPr>
                <w:p>
                  <w:pPr>
                    <w:jc w:val="center"/>
                    <w:rPr>
                      <w:sz w:val="21"/>
                      <w:szCs w:val="21"/>
                    </w:rPr>
                  </w:pPr>
                  <w:r>
                    <w:rPr>
                      <w:sz w:val="21"/>
                      <w:szCs w:val="21"/>
                    </w:rPr>
                    <w:t>0.0933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20</w:t>
                  </w:r>
                </w:p>
              </w:tc>
              <w:tc>
                <w:tcPr>
                  <w:tcW w:w="1449" w:type="dxa"/>
                  <w:vAlign w:val="center"/>
                </w:tcPr>
                <w:p>
                  <w:pPr>
                    <w:jc w:val="center"/>
                    <w:rPr>
                      <w:sz w:val="21"/>
                      <w:szCs w:val="21"/>
                    </w:rPr>
                  </w:pPr>
                  <w:r>
                    <w:rPr>
                      <w:sz w:val="21"/>
                      <w:szCs w:val="21"/>
                    </w:rPr>
                    <w:t>1700.0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0.0057</w:t>
                  </w:r>
                </w:p>
              </w:tc>
              <w:tc>
                <w:tcPr>
                  <w:tcW w:w="1327" w:type="dxa"/>
                  <w:vAlign w:val="center"/>
                </w:tcPr>
                <w:p>
                  <w:pPr>
                    <w:jc w:val="center"/>
                    <w:rPr>
                      <w:sz w:val="21"/>
                      <w:szCs w:val="21"/>
                    </w:rPr>
                  </w:pPr>
                  <w:r>
                    <w:rPr>
                      <w:sz w:val="21"/>
                      <w:szCs w:val="21"/>
                    </w:rPr>
                    <w:t>0.1804</w:t>
                  </w:r>
                </w:p>
              </w:tc>
              <w:tc>
                <w:tcPr>
                  <w:tcW w:w="1756" w:type="dxa"/>
                  <w:vAlign w:val="center"/>
                </w:tcPr>
                <w:p>
                  <w:pPr>
                    <w:jc w:val="center"/>
                    <w:rPr>
                      <w:sz w:val="21"/>
                      <w:szCs w:val="21"/>
                    </w:rPr>
                  </w:pPr>
                  <w:r>
                    <w:rPr>
                      <w:sz w:val="21"/>
                      <w:szCs w:val="21"/>
                    </w:rPr>
                    <w:t>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21</w:t>
                  </w:r>
                </w:p>
              </w:tc>
              <w:tc>
                <w:tcPr>
                  <w:tcW w:w="1449" w:type="dxa"/>
                  <w:vAlign w:val="center"/>
                </w:tcPr>
                <w:p>
                  <w:pPr>
                    <w:jc w:val="center"/>
                    <w:rPr>
                      <w:sz w:val="21"/>
                      <w:szCs w:val="21"/>
                    </w:rPr>
                  </w:pPr>
                  <w:r>
                    <w:rPr>
                      <w:sz w:val="21"/>
                      <w:szCs w:val="21"/>
                    </w:rPr>
                    <w:t>1800.0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0.0055</w:t>
                  </w:r>
                </w:p>
              </w:tc>
              <w:tc>
                <w:tcPr>
                  <w:tcW w:w="1327" w:type="dxa"/>
                  <w:vAlign w:val="center"/>
                </w:tcPr>
                <w:p>
                  <w:pPr>
                    <w:jc w:val="center"/>
                    <w:rPr>
                      <w:sz w:val="21"/>
                      <w:szCs w:val="21"/>
                    </w:rPr>
                  </w:pPr>
                  <w:r>
                    <w:rPr>
                      <w:sz w:val="21"/>
                      <w:szCs w:val="21"/>
                    </w:rPr>
                    <w:t>0.1746</w:t>
                  </w:r>
                </w:p>
              </w:tc>
              <w:tc>
                <w:tcPr>
                  <w:tcW w:w="1756" w:type="dxa"/>
                  <w:vAlign w:val="center"/>
                </w:tcPr>
                <w:p>
                  <w:pPr>
                    <w:jc w:val="center"/>
                    <w:rPr>
                      <w:sz w:val="21"/>
                      <w:szCs w:val="21"/>
                    </w:rPr>
                  </w:pPr>
                  <w:r>
                    <w:rPr>
                      <w:sz w:val="21"/>
                      <w:szCs w:val="21"/>
                    </w:rPr>
                    <w:t>0.0873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22</w:t>
                  </w:r>
                </w:p>
              </w:tc>
              <w:tc>
                <w:tcPr>
                  <w:tcW w:w="1449" w:type="dxa"/>
                  <w:vAlign w:val="center"/>
                </w:tcPr>
                <w:p>
                  <w:pPr>
                    <w:jc w:val="center"/>
                    <w:rPr>
                      <w:sz w:val="21"/>
                      <w:szCs w:val="21"/>
                    </w:rPr>
                  </w:pPr>
                  <w:r>
                    <w:rPr>
                      <w:sz w:val="21"/>
                      <w:szCs w:val="21"/>
                    </w:rPr>
                    <w:t>1900.0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0.0054</w:t>
                  </w:r>
                </w:p>
              </w:tc>
              <w:tc>
                <w:tcPr>
                  <w:tcW w:w="1327" w:type="dxa"/>
                  <w:vAlign w:val="center"/>
                </w:tcPr>
                <w:p>
                  <w:pPr>
                    <w:jc w:val="center"/>
                    <w:rPr>
                      <w:sz w:val="21"/>
                      <w:szCs w:val="21"/>
                    </w:rPr>
                  </w:pPr>
                  <w:r>
                    <w:rPr>
                      <w:sz w:val="21"/>
                      <w:szCs w:val="21"/>
                    </w:rPr>
                    <w:t>0.1691</w:t>
                  </w:r>
                </w:p>
              </w:tc>
              <w:tc>
                <w:tcPr>
                  <w:tcW w:w="1756" w:type="dxa"/>
                  <w:vAlign w:val="center"/>
                </w:tcPr>
                <w:p>
                  <w:pPr>
                    <w:jc w:val="center"/>
                    <w:rPr>
                      <w:sz w:val="21"/>
                      <w:szCs w:val="21"/>
                    </w:rPr>
                  </w:pPr>
                  <w:r>
                    <w:rPr>
                      <w:sz w:val="21"/>
                      <w:szCs w:val="21"/>
                    </w:rPr>
                    <w:t>0.0846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23</w:t>
                  </w:r>
                </w:p>
              </w:tc>
              <w:tc>
                <w:tcPr>
                  <w:tcW w:w="1449" w:type="dxa"/>
                  <w:vAlign w:val="center"/>
                </w:tcPr>
                <w:p>
                  <w:pPr>
                    <w:jc w:val="center"/>
                    <w:rPr>
                      <w:sz w:val="21"/>
                      <w:szCs w:val="21"/>
                    </w:rPr>
                  </w:pPr>
                  <w:r>
                    <w:rPr>
                      <w:sz w:val="21"/>
                      <w:szCs w:val="21"/>
                    </w:rPr>
                    <w:t>2000.0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0.0052</w:t>
                  </w:r>
                </w:p>
              </w:tc>
              <w:tc>
                <w:tcPr>
                  <w:tcW w:w="1327" w:type="dxa"/>
                  <w:vAlign w:val="center"/>
                </w:tcPr>
                <w:p>
                  <w:pPr>
                    <w:jc w:val="center"/>
                    <w:rPr>
                      <w:sz w:val="21"/>
                      <w:szCs w:val="21"/>
                    </w:rPr>
                  </w:pPr>
                  <w:r>
                    <w:rPr>
                      <w:sz w:val="21"/>
                      <w:szCs w:val="21"/>
                    </w:rPr>
                    <w:t>0.1640</w:t>
                  </w:r>
                </w:p>
              </w:tc>
              <w:tc>
                <w:tcPr>
                  <w:tcW w:w="1756" w:type="dxa"/>
                  <w:vAlign w:val="center"/>
                </w:tcPr>
                <w:p>
                  <w:pPr>
                    <w:jc w:val="center"/>
                    <w:rPr>
                      <w:sz w:val="21"/>
                      <w:szCs w:val="21"/>
                    </w:rPr>
                  </w:pPr>
                  <w:r>
                    <w:rPr>
                      <w:sz w:val="21"/>
                      <w:szCs w:val="21"/>
                    </w:rPr>
                    <w:t>0.0820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24</w:t>
                  </w:r>
                </w:p>
              </w:tc>
              <w:tc>
                <w:tcPr>
                  <w:tcW w:w="1449" w:type="dxa"/>
                  <w:vAlign w:val="center"/>
                </w:tcPr>
                <w:p>
                  <w:pPr>
                    <w:jc w:val="center"/>
                    <w:rPr>
                      <w:sz w:val="21"/>
                      <w:szCs w:val="21"/>
                    </w:rPr>
                  </w:pPr>
                  <w:r>
                    <w:rPr>
                      <w:sz w:val="21"/>
                      <w:szCs w:val="21"/>
                    </w:rPr>
                    <w:t>2100.0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0.0050</w:t>
                  </w:r>
                </w:p>
              </w:tc>
              <w:tc>
                <w:tcPr>
                  <w:tcW w:w="1327" w:type="dxa"/>
                  <w:vAlign w:val="center"/>
                </w:tcPr>
                <w:p>
                  <w:pPr>
                    <w:jc w:val="center"/>
                    <w:rPr>
                      <w:sz w:val="21"/>
                      <w:szCs w:val="21"/>
                    </w:rPr>
                  </w:pPr>
                  <w:r>
                    <w:rPr>
                      <w:sz w:val="21"/>
                      <w:szCs w:val="21"/>
                    </w:rPr>
                    <w:t>0.1591</w:t>
                  </w:r>
                </w:p>
              </w:tc>
              <w:tc>
                <w:tcPr>
                  <w:tcW w:w="1756" w:type="dxa"/>
                  <w:vAlign w:val="center"/>
                </w:tcPr>
                <w:p>
                  <w:pPr>
                    <w:jc w:val="center"/>
                    <w:rPr>
                      <w:sz w:val="21"/>
                      <w:szCs w:val="21"/>
                    </w:rPr>
                  </w:pPr>
                  <w:r>
                    <w:rPr>
                      <w:sz w:val="21"/>
                      <w:szCs w:val="21"/>
                    </w:rPr>
                    <w:t>0.0796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25</w:t>
                  </w:r>
                </w:p>
              </w:tc>
              <w:tc>
                <w:tcPr>
                  <w:tcW w:w="1449" w:type="dxa"/>
                  <w:vAlign w:val="center"/>
                </w:tcPr>
                <w:p>
                  <w:pPr>
                    <w:jc w:val="center"/>
                    <w:rPr>
                      <w:sz w:val="21"/>
                      <w:szCs w:val="21"/>
                    </w:rPr>
                  </w:pPr>
                  <w:r>
                    <w:rPr>
                      <w:sz w:val="21"/>
                      <w:szCs w:val="21"/>
                    </w:rPr>
                    <w:t>2200.0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0.0049</w:t>
                  </w:r>
                </w:p>
              </w:tc>
              <w:tc>
                <w:tcPr>
                  <w:tcW w:w="1327" w:type="dxa"/>
                  <w:vAlign w:val="center"/>
                </w:tcPr>
                <w:p>
                  <w:pPr>
                    <w:jc w:val="center"/>
                    <w:rPr>
                      <w:sz w:val="21"/>
                      <w:szCs w:val="21"/>
                    </w:rPr>
                  </w:pPr>
                  <w:r>
                    <w:rPr>
                      <w:sz w:val="21"/>
                      <w:szCs w:val="21"/>
                    </w:rPr>
                    <w:t>0.1545</w:t>
                  </w:r>
                </w:p>
              </w:tc>
              <w:tc>
                <w:tcPr>
                  <w:tcW w:w="1756" w:type="dxa"/>
                  <w:vAlign w:val="center"/>
                </w:tcPr>
                <w:p>
                  <w:pPr>
                    <w:jc w:val="center"/>
                    <w:rPr>
                      <w:sz w:val="21"/>
                      <w:szCs w:val="21"/>
                    </w:rPr>
                  </w:pPr>
                  <w:r>
                    <w:rPr>
                      <w:sz w:val="21"/>
                      <w:szCs w:val="21"/>
                    </w:rPr>
                    <w:t>0.0772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26</w:t>
                  </w:r>
                </w:p>
              </w:tc>
              <w:tc>
                <w:tcPr>
                  <w:tcW w:w="1449" w:type="dxa"/>
                  <w:vAlign w:val="center"/>
                </w:tcPr>
                <w:p>
                  <w:pPr>
                    <w:jc w:val="center"/>
                    <w:rPr>
                      <w:sz w:val="21"/>
                      <w:szCs w:val="21"/>
                    </w:rPr>
                  </w:pPr>
                  <w:r>
                    <w:rPr>
                      <w:sz w:val="21"/>
                      <w:szCs w:val="21"/>
                    </w:rPr>
                    <w:t>2300.0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0.0047</w:t>
                  </w:r>
                </w:p>
              </w:tc>
              <w:tc>
                <w:tcPr>
                  <w:tcW w:w="1327" w:type="dxa"/>
                  <w:vAlign w:val="center"/>
                </w:tcPr>
                <w:p>
                  <w:pPr>
                    <w:jc w:val="center"/>
                    <w:rPr>
                      <w:sz w:val="21"/>
                      <w:szCs w:val="21"/>
                    </w:rPr>
                  </w:pPr>
                  <w:r>
                    <w:rPr>
                      <w:sz w:val="21"/>
                      <w:szCs w:val="21"/>
                    </w:rPr>
                    <w:t>0.1501</w:t>
                  </w:r>
                </w:p>
              </w:tc>
              <w:tc>
                <w:tcPr>
                  <w:tcW w:w="1756" w:type="dxa"/>
                  <w:vAlign w:val="center"/>
                </w:tcPr>
                <w:p>
                  <w:pPr>
                    <w:jc w:val="center"/>
                    <w:rPr>
                      <w:sz w:val="21"/>
                      <w:szCs w:val="21"/>
                    </w:rPr>
                  </w:pPr>
                  <w:r>
                    <w:rPr>
                      <w:sz w:val="21"/>
                      <w:szCs w:val="21"/>
                    </w:rPr>
                    <w:t>0.0750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27</w:t>
                  </w:r>
                </w:p>
              </w:tc>
              <w:tc>
                <w:tcPr>
                  <w:tcW w:w="1449" w:type="dxa"/>
                  <w:vAlign w:val="center"/>
                </w:tcPr>
                <w:p>
                  <w:pPr>
                    <w:jc w:val="center"/>
                    <w:rPr>
                      <w:sz w:val="21"/>
                      <w:szCs w:val="21"/>
                    </w:rPr>
                  </w:pPr>
                  <w:r>
                    <w:rPr>
                      <w:sz w:val="21"/>
                      <w:szCs w:val="21"/>
                    </w:rPr>
                    <w:t>2400.0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0.0046</w:t>
                  </w:r>
                </w:p>
              </w:tc>
              <w:tc>
                <w:tcPr>
                  <w:tcW w:w="1327" w:type="dxa"/>
                  <w:vAlign w:val="center"/>
                </w:tcPr>
                <w:p>
                  <w:pPr>
                    <w:jc w:val="center"/>
                    <w:rPr>
                      <w:sz w:val="21"/>
                      <w:szCs w:val="21"/>
                    </w:rPr>
                  </w:pPr>
                  <w:r>
                    <w:rPr>
                      <w:sz w:val="21"/>
                      <w:szCs w:val="21"/>
                    </w:rPr>
                    <w:t>0.1459</w:t>
                  </w:r>
                </w:p>
              </w:tc>
              <w:tc>
                <w:tcPr>
                  <w:tcW w:w="1756" w:type="dxa"/>
                  <w:vAlign w:val="center"/>
                </w:tcPr>
                <w:p>
                  <w:pPr>
                    <w:jc w:val="center"/>
                    <w:rPr>
                      <w:sz w:val="21"/>
                      <w:szCs w:val="21"/>
                    </w:rPr>
                  </w:pPr>
                  <w:r>
                    <w:rPr>
                      <w:sz w:val="21"/>
                      <w:szCs w:val="21"/>
                    </w:rPr>
                    <w:t>0.0730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rStyle w:val="49"/>
                      <w:color w:val="000000"/>
                    </w:rPr>
                  </w:pPr>
                  <w:r>
                    <w:rPr>
                      <w:rStyle w:val="49"/>
                      <w:rFonts w:hint="eastAsia"/>
                      <w:color w:val="000000"/>
                    </w:rPr>
                    <w:t>28</w:t>
                  </w:r>
                </w:p>
              </w:tc>
              <w:tc>
                <w:tcPr>
                  <w:tcW w:w="1449" w:type="dxa"/>
                  <w:vAlign w:val="center"/>
                </w:tcPr>
                <w:p>
                  <w:pPr>
                    <w:jc w:val="center"/>
                    <w:rPr>
                      <w:sz w:val="21"/>
                      <w:szCs w:val="21"/>
                    </w:rPr>
                  </w:pPr>
                  <w:r>
                    <w:rPr>
                      <w:sz w:val="21"/>
                      <w:szCs w:val="21"/>
                    </w:rPr>
                    <w:t>2500.0</w:t>
                  </w:r>
                </w:p>
              </w:tc>
              <w:tc>
                <w:tcPr>
                  <w:tcW w:w="1278" w:type="dxa"/>
                  <w:vAlign w:val="center"/>
                </w:tcPr>
                <w:p>
                  <w:pPr>
                    <w:jc w:val="center"/>
                    <w:rPr>
                      <w:sz w:val="21"/>
                      <w:szCs w:val="21"/>
                    </w:rPr>
                  </w:pPr>
                  <w:r>
                    <w:rPr>
                      <w:sz w:val="21"/>
                      <w:szCs w:val="21"/>
                    </w:rPr>
                    <w:t>0.0004</w:t>
                  </w:r>
                </w:p>
              </w:tc>
              <w:tc>
                <w:tcPr>
                  <w:tcW w:w="1537" w:type="dxa"/>
                  <w:vAlign w:val="center"/>
                </w:tcPr>
                <w:p>
                  <w:pPr>
                    <w:jc w:val="center"/>
                    <w:rPr>
                      <w:sz w:val="21"/>
                      <w:szCs w:val="21"/>
                    </w:rPr>
                  </w:pPr>
                  <w:r>
                    <w:rPr>
                      <w:sz w:val="21"/>
                      <w:szCs w:val="21"/>
                    </w:rPr>
                    <w:t>0.0045</w:t>
                  </w:r>
                </w:p>
              </w:tc>
              <w:tc>
                <w:tcPr>
                  <w:tcW w:w="1327" w:type="dxa"/>
                  <w:vAlign w:val="center"/>
                </w:tcPr>
                <w:p>
                  <w:pPr>
                    <w:jc w:val="center"/>
                    <w:rPr>
                      <w:sz w:val="21"/>
                      <w:szCs w:val="21"/>
                    </w:rPr>
                  </w:pPr>
                  <w:r>
                    <w:rPr>
                      <w:sz w:val="21"/>
                      <w:szCs w:val="21"/>
                    </w:rPr>
                    <w:t>0.1419</w:t>
                  </w:r>
                </w:p>
              </w:tc>
              <w:tc>
                <w:tcPr>
                  <w:tcW w:w="1756" w:type="dxa"/>
                  <w:vAlign w:val="center"/>
                </w:tcPr>
                <w:p>
                  <w:pPr>
                    <w:jc w:val="center"/>
                    <w:rPr>
                      <w:sz w:val="21"/>
                      <w:szCs w:val="21"/>
                    </w:rPr>
                  </w:pPr>
                  <w:r>
                    <w:rPr>
                      <w:sz w:val="21"/>
                      <w:szCs w:val="21"/>
                    </w:rPr>
                    <w:t>0.0710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w:t>
                  </w:r>
                </w:p>
              </w:tc>
              <w:tc>
                <w:tcPr>
                  <w:tcW w:w="1278" w:type="dxa"/>
                  <w:vAlign w:val="center"/>
                </w:tcPr>
                <w:p>
                  <w:pPr>
                    <w:jc w:val="center"/>
                    <w:rPr>
                      <w:sz w:val="21"/>
                      <w:szCs w:val="21"/>
                    </w:rPr>
                  </w:pPr>
                  <w:r>
                    <w:rPr>
                      <w:sz w:val="21"/>
                      <w:szCs w:val="21"/>
                    </w:rPr>
                    <w:t>0.0039</w:t>
                  </w:r>
                </w:p>
              </w:tc>
              <w:tc>
                <w:tcPr>
                  <w:tcW w:w="1537" w:type="dxa"/>
                  <w:vAlign w:val="center"/>
                </w:tcPr>
                <w:p>
                  <w:pPr>
                    <w:jc w:val="center"/>
                    <w:rPr>
                      <w:sz w:val="21"/>
                      <w:szCs w:val="21"/>
                    </w:rPr>
                  </w:pPr>
                  <w:r>
                    <w:rPr>
                      <w:sz w:val="21"/>
                      <w:szCs w:val="21"/>
                    </w:rPr>
                    <w:t>0.0386</w:t>
                  </w:r>
                </w:p>
              </w:tc>
              <w:tc>
                <w:tcPr>
                  <w:tcW w:w="1327" w:type="dxa"/>
                  <w:vAlign w:val="center"/>
                </w:tcPr>
                <w:p>
                  <w:pPr>
                    <w:jc w:val="center"/>
                    <w:rPr>
                      <w:sz w:val="21"/>
                      <w:szCs w:val="21"/>
                    </w:rPr>
                  </w:pPr>
                  <w:r>
                    <w:rPr>
                      <w:sz w:val="21"/>
                      <w:szCs w:val="21"/>
                    </w:rPr>
                    <w:t>1.2182</w:t>
                  </w:r>
                </w:p>
              </w:tc>
              <w:tc>
                <w:tcPr>
                  <w:tcW w:w="1756" w:type="dxa"/>
                  <w:vAlign w:val="center"/>
                </w:tcPr>
                <w:p>
                  <w:pPr>
                    <w:jc w:val="center"/>
                    <w:rPr>
                      <w:sz w:val="21"/>
                      <w:szCs w:val="21"/>
                    </w:rPr>
                  </w:pPr>
                  <w:r>
                    <w:rPr>
                      <w:sz w:val="21"/>
                      <w:szCs w:val="21"/>
                    </w:rPr>
                    <w:t>0.6091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下风向最大浓度距离</w:t>
                  </w:r>
                </w:p>
              </w:tc>
              <w:tc>
                <w:tcPr>
                  <w:tcW w:w="1278" w:type="dxa"/>
                  <w:vAlign w:val="center"/>
                </w:tcPr>
                <w:p>
                  <w:pPr>
                    <w:jc w:val="center"/>
                    <w:rPr>
                      <w:sz w:val="21"/>
                      <w:szCs w:val="21"/>
                    </w:rPr>
                  </w:pPr>
                  <w:r>
                    <w:rPr>
                      <w:sz w:val="21"/>
                      <w:szCs w:val="21"/>
                    </w:rPr>
                    <w:t>55.0</w:t>
                  </w:r>
                </w:p>
              </w:tc>
              <w:tc>
                <w:tcPr>
                  <w:tcW w:w="1537" w:type="dxa"/>
                  <w:vAlign w:val="center"/>
                </w:tcPr>
                <w:p>
                  <w:pPr>
                    <w:jc w:val="center"/>
                    <w:rPr>
                      <w:sz w:val="21"/>
                      <w:szCs w:val="21"/>
                    </w:rPr>
                  </w:pPr>
                  <w:r>
                    <w:rPr>
                      <w:sz w:val="21"/>
                      <w:szCs w:val="21"/>
                    </w:rPr>
                    <w:t>55.0</w:t>
                  </w:r>
                </w:p>
              </w:tc>
              <w:tc>
                <w:tcPr>
                  <w:tcW w:w="1327" w:type="dxa"/>
                  <w:vAlign w:val="center"/>
                </w:tcPr>
                <w:p>
                  <w:pPr>
                    <w:jc w:val="center"/>
                    <w:rPr>
                      <w:sz w:val="21"/>
                      <w:szCs w:val="21"/>
                    </w:rPr>
                  </w:pPr>
                  <w:r>
                    <w:rPr>
                      <w:sz w:val="21"/>
                      <w:szCs w:val="21"/>
                    </w:rPr>
                    <w:t>55.0</w:t>
                  </w:r>
                </w:p>
              </w:tc>
              <w:tc>
                <w:tcPr>
                  <w:tcW w:w="1756" w:type="dxa"/>
                  <w:vAlign w:val="center"/>
                </w:tcPr>
                <w:p>
                  <w:pPr>
                    <w:jc w:val="center"/>
                    <w:rPr>
                      <w:sz w:val="21"/>
                      <w:szCs w:val="21"/>
                    </w:rPr>
                  </w:pPr>
                  <w:r>
                    <w:rPr>
                      <w:sz w:val="21"/>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D10%最远距离</w:t>
                  </w:r>
                </w:p>
              </w:tc>
              <w:tc>
                <w:tcPr>
                  <w:tcW w:w="1278" w:type="dxa"/>
                  <w:vAlign w:val="center"/>
                </w:tcPr>
                <w:p>
                  <w:pPr>
                    <w:jc w:val="center"/>
                    <w:rPr>
                      <w:sz w:val="21"/>
                      <w:szCs w:val="21"/>
                    </w:rPr>
                  </w:pPr>
                  <w:r>
                    <w:rPr>
                      <w:sz w:val="21"/>
                      <w:szCs w:val="21"/>
                    </w:rPr>
                    <w:t>/</w:t>
                  </w:r>
                </w:p>
              </w:tc>
              <w:tc>
                <w:tcPr>
                  <w:tcW w:w="1537" w:type="dxa"/>
                  <w:vAlign w:val="center"/>
                </w:tcPr>
                <w:p>
                  <w:pPr>
                    <w:jc w:val="center"/>
                    <w:rPr>
                      <w:sz w:val="21"/>
                      <w:szCs w:val="21"/>
                    </w:rPr>
                  </w:pPr>
                  <w:r>
                    <w:rPr>
                      <w:sz w:val="21"/>
                      <w:szCs w:val="21"/>
                    </w:rPr>
                    <w:t>/</w:t>
                  </w:r>
                </w:p>
              </w:tc>
              <w:tc>
                <w:tcPr>
                  <w:tcW w:w="1327" w:type="dxa"/>
                  <w:vAlign w:val="center"/>
                </w:tcPr>
                <w:p>
                  <w:pPr>
                    <w:jc w:val="center"/>
                    <w:rPr>
                      <w:sz w:val="21"/>
                      <w:szCs w:val="21"/>
                    </w:rPr>
                  </w:pPr>
                  <w:r>
                    <w:rPr>
                      <w:sz w:val="21"/>
                      <w:szCs w:val="21"/>
                    </w:rPr>
                    <w:t>/</w:t>
                  </w:r>
                </w:p>
              </w:tc>
              <w:tc>
                <w:tcPr>
                  <w:tcW w:w="1756" w:type="dxa"/>
                  <w:vAlign w:val="center"/>
                </w:tcPr>
                <w:p>
                  <w:pPr>
                    <w:jc w:val="center"/>
                    <w:rPr>
                      <w:sz w:val="21"/>
                      <w:szCs w:val="21"/>
                    </w:rPr>
                  </w:pPr>
                  <w:r>
                    <w:rPr>
                      <w:sz w:val="21"/>
                      <w:szCs w:val="21"/>
                    </w:rPr>
                    <w:t>/</w:t>
                  </w:r>
                </w:p>
              </w:tc>
            </w:tr>
          </w:tbl>
          <w:p>
            <w:pPr>
              <w:adjustRightInd w:val="0"/>
              <w:snapToGrid w:val="0"/>
              <w:spacing w:beforeLines="50" w:line="360" w:lineRule="auto"/>
              <w:jc w:val="center"/>
              <w:rPr>
                <w:b/>
                <w:color w:val="000000"/>
                <w:sz w:val="21"/>
              </w:rPr>
            </w:pPr>
            <w:r>
              <w:rPr>
                <w:rFonts w:hint="eastAsia"/>
                <w:bCs/>
                <w:color w:val="000000"/>
                <w:szCs w:val="32"/>
              </w:rPr>
              <w:drawing>
                <wp:inline distT="0" distB="0" distL="0" distR="0">
                  <wp:extent cx="5448300" cy="2371725"/>
                  <wp:effectExtent l="0" t="0" r="0" b="0"/>
                  <wp:docPr id="14" name="图片 17"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折线图"/>
                          <pic:cNvPicPr>
                            <a:picLocks noChangeAspect="1" noChangeArrowheads="1"/>
                          </pic:cNvPicPr>
                        </pic:nvPicPr>
                        <pic:blipFill>
                          <a:blip r:embed="rId27" cstate="print"/>
                          <a:srcRect/>
                          <a:stretch>
                            <a:fillRect/>
                          </a:stretch>
                        </pic:blipFill>
                        <pic:spPr>
                          <a:xfrm>
                            <a:off x="0" y="0"/>
                            <a:ext cx="5448300" cy="2371725"/>
                          </a:xfrm>
                          <a:prstGeom prst="rect">
                            <a:avLst/>
                          </a:prstGeom>
                          <a:noFill/>
                          <a:ln w="9525">
                            <a:noFill/>
                            <a:miter lim="800000"/>
                            <a:headEnd/>
                            <a:tailEnd/>
                          </a:ln>
                          <a:effectLst/>
                        </pic:spPr>
                      </pic:pic>
                    </a:graphicData>
                  </a:graphic>
                </wp:inline>
              </w:drawing>
            </w:r>
            <w:r>
              <w:rPr>
                <w:b/>
                <w:color w:val="000000"/>
                <w:sz w:val="21"/>
              </w:rPr>
              <w:t>图</w:t>
            </w:r>
            <w:r>
              <w:rPr>
                <w:rFonts w:hint="eastAsia"/>
                <w:b/>
                <w:color w:val="000000"/>
                <w:sz w:val="21"/>
              </w:rPr>
              <w:t>7-3</w:t>
            </w:r>
            <w:r>
              <w:rPr>
                <w:b/>
                <w:color w:val="000000"/>
                <w:sz w:val="21"/>
              </w:rPr>
              <w:t xml:space="preserve">  </w:t>
            </w:r>
            <w:r>
              <w:rPr>
                <w:rFonts w:hint="eastAsia"/>
                <w:b/>
                <w:color w:val="000000"/>
                <w:sz w:val="21"/>
              </w:rPr>
              <w:t>牛街污水处理厂无组织排放各污染物的预测结果图</w:t>
            </w:r>
          </w:p>
          <w:p>
            <w:pPr>
              <w:adjustRightInd w:val="0"/>
              <w:snapToGrid w:val="0"/>
              <w:spacing w:beforeLines="50" w:line="360" w:lineRule="auto"/>
              <w:ind w:firstLine="480" w:firstLineChars="200"/>
              <w:rPr>
                <w:bCs/>
                <w:color w:val="000000"/>
                <w:szCs w:val="32"/>
              </w:rPr>
            </w:pPr>
            <w:r>
              <w:rPr>
                <w:rFonts w:hint="eastAsia"/>
                <w:bCs/>
                <w:color w:val="000000"/>
                <w:szCs w:val="32"/>
              </w:rPr>
              <w:t>从上表中可以看出，本项目右所污水厂排放的无组织氨、硫化氢，在外环境中的贡献浓度先是随着距离的增加，在55</w:t>
            </w:r>
            <w:r>
              <w:rPr>
                <w:bCs/>
                <w:color w:val="000000"/>
                <w:szCs w:val="32"/>
              </w:rPr>
              <w:t>m</w:t>
            </w:r>
            <w:r>
              <w:rPr>
                <w:rFonts w:hint="eastAsia"/>
                <w:bCs/>
                <w:color w:val="000000"/>
                <w:szCs w:val="32"/>
              </w:rPr>
              <w:t>达到的最大落地浓度峰值后，贡献浓度逐渐随着距离的增加而降低。最大落地浓度出现在距离厂界55</w:t>
            </w:r>
            <w:r>
              <w:rPr>
                <w:bCs/>
                <w:color w:val="000000"/>
                <w:szCs w:val="32"/>
              </w:rPr>
              <w:t>m</w:t>
            </w:r>
            <w:r>
              <w:rPr>
                <w:rFonts w:hint="eastAsia"/>
                <w:bCs/>
                <w:color w:val="000000"/>
                <w:szCs w:val="32"/>
              </w:rPr>
              <w:t>的下风向点位处；最大落地点浓度均满足</w:t>
            </w:r>
            <w:r>
              <w:rPr>
                <w:rFonts w:hint="eastAsia"/>
              </w:rPr>
              <w:t>《城镇污水处理厂污染物排放标准》（GB18918-2002）表4中二级标准</w:t>
            </w:r>
            <w:r>
              <w:rPr>
                <w:rFonts w:hint="eastAsia"/>
                <w:bCs/>
                <w:color w:val="000000"/>
                <w:szCs w:val="32"/>
              </w:rPr>
              <w:t>，厂界均可达标排放。</w:t>
            </w:r>
          </w:p>
          <w:p>
            <w:pPr>
              <w:numPr>
                <w:ilvl w:val="0"/>
                <w:numId w:val="8"/>
              </w:numPr>
              <w:spacing w:line="360" w:lineRule="auto"/>
              <w:ind w:firstLine="480"/>
              <w:rPr>
                <w:b/>
                <w:bCs/>
              </w:rPr>
            </w:pPr>
            <w:r>
              <w:rPr>
                <w:rFonts w:hint="eastAsia"/>
                <w:b/>
                <w:bCs/>
              </w:rPr>
              <w:t>对敏感点的影响分析</w:t>
            </w:r>
          </w:p>
          <w:p>
            <w:pPr>
              <w:spacing w:line="360" w:lineRule="auto"/>
              <w:ind w:firstLine="723" w:firstLineChars="300"/>
              <w:rPr>
                <w:b/>
                <w:bCs/>
              </w:rPr>
            </w:pPr>
            <w:r>
              <w:rPr>
                <w:b/>
                <w:bCs/>
              </w:rPr>
              <w:t>① 邓川污水处理厂</w:t>
            </w:r>
          </w:p>
          <w:p>
            <w:pPr>
              <w:adjustRightInd w:val="0"/>
              <w:snapToGrid w:val="0"/>
              <w:spacing w:beforeLines="50" w:line="360" w:lineRule="auto"/>
              <w:ind w:firstLine="422" w:firstLineChars="200"/>
              <w:jc w:val="center"/>
              <w:rPr>
                <w:color w:val="000000"/>
                <w:kern w:val="24"/>
                <w:szCs w:val="24"/>
              </w:rPr>
            </w:pPr>
            <w:r>
              <w:rPr>
                <w:b/>
                <w:bCs/>
                <w:color w:val="000000"/>
                <w:kern w:val="24"/>
                <w:sz w:val="21"/>
              </w:rPr>
              <w:t>表</w:t>
            </w:r>
            <w:r>
              <w:rPr>
                <w:rFonts w:hint="eastAsia"/>
                <w:b/>
                <w:bCs/>
                <w:color w:val="000000"/>
                <w:kern w:val="24"/>
                <w:sz w:val="21"/>
              </w:rPr>
              <w:t>7</w:t>
            </w:r>
            <w:r>
              <w:rPr>
                <w:b/>
                <w:bCs/>
                <w:color w:val="000000"/>
                <w:kern w:val="24"/>
                <w:sz w:val="21"/>
              </w:rPr>
              <w:t>-10  敏感点及最大地面浓度点浓度预测结果一览表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04"/>
              <w:gridCol w:w="1281"/>
              <w:gridCol w:w="1015"/>
              <w:gridCol w:w="1592"/>
              <w:gridCol w:w="115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pPr>
                    <w:jc w:val="center"/>
                    <w:rPr>
                      <w:rStyle w:val="49"/>
                      <w:b/>
                      <w:bCs/>
                      <w:color w:val="000000"/>
                    </w:rPr>
                  </w:pPr>
                  <w:r>
                    <w:rPr>
                      <w:rStyle w:val="49"/>
                      <w:b/>
                      <w:bCs/>
                      <w:color w:val="000000"/>
                    </w:rPr>
                    <w:t>敏感点</w:t>
                  </w:r>
                </w:p>
              </w:tc>
              <w:tc>
                <w:tcPr>
                  <w:tcW w:w="5192" w:type="dxa"/>
                  <w:gridSpan w:val="4"/>
                  <w:vAlign w:val="center"/>
                </w:tcPr>
                <w:p>
                  <w:pPr>
                    <w:jc w:val="center"/>
                    <w:rPr>
                      <w:rStyle w:val="49"/>
                      <w:b/>
                      <w:bCs/>
                      <w:color w:val="000000"/>
                    </w:rPr>
                  </w:pPr>
                  <w:r>
                    <w:rPr>
                      <w:rStyle w:val="49"/>
                      <w:b/>
                      <w:bCs/>
                      <w:color w:val="000000"/>
                    </w:rPr>
                    <w:t>敏感点信息</w:t>
                  </w:r>
                </w:p>
              </w:tc>
              <w:tc>
                <w:tcPr>
                  <w:tcW w:w="2440" w:type="dxa"/>
                  <w:gridSpan w:val="2"/>
                  <w:vAlign w:val="center"/>
                </w:tcPr>
                <w:p>
                  <w:pPr>
                    <w:jc w:val="center"/>
                    <w:rPr>
                      <w:rStyle w:val="49"/>
                      <w:b/>
                      <w:bCs/>
                      <w:color w:val="000000"/>
                    </w:rPr>
                  </w:pPr>
                  <w:r>
                    <w:rPr>
                      <w:b/>
                      <w:bCs/>
                      <w:color w:val="000000"/>
                      <w:kern w:val="24"/>
                      <w:sz w:val="21"/>
                      <w:szCs w:val="21"/>
                    </w:rPr>
                    <w:t>预测值</w:t>
                  </w:r>
                  <w:r>
                    <w:rPr>
                      <w:rStyle w:val="49"/>
                      <w:b/>
                      <w:bCs/>
                      <w:color w:val="000000"/>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pPr>
                    <w:jc w:val="center"/>
                    <w:rPr>
                      <w:rStyle w:val="49"/>
                      <w:b/>
                      <w:bCs/>
                      <w:color w:val="000000"/>
                    </w:rPr>
                  </w:pPr>
                </w:p>
              </w:tc>
              <w:tc>
                <w:tcPr>
                  <w:tcW w:w="1304" w:type="dxa"/>
                  <w:vAlign w:val="center"/>
                </w:tcPr>
                <w:p>
                  <w:pPr>
                    <w:jc w:val="center"/>
                    <w:rPr>
                      <w:rStyle w:val="49"/>
                      <w:b/>
                      <w:bCs/>
                      <w:color w:val="000000"/>
                    </w:rPr>
                  </w:pPr>
                  <w:r>
                    <w:rPr>
                      <w:rStyle w:val="49"/>
                      <w:b/>
                      <w:bCs/>
                      <w:color w:val="000000"/>
                    </w:rPr>
                    <w:t>经度(度)</w:t>
                  </w:r>
                </w:p>
              </w:tc>
              <w:tc>
                <w:tcPr>
                  <w:tcW w:w="1281" w:type="dxa"/>
                  <w:vAlign w:val="center"/>
                </w:tcPr>
                <w:p>
                  <w:pPr>
                    <w:jc w:val="center"/>
                    <w:rPr>
                      <w:rStyle w:val="49"/>
                      <w:b/>
                      <w:bCs/>
                      <w:color w:val="000000"/>
                    </w:rPr>
                  </w:pPr>
                  <w:r>
                    <w:rPr>
                      <w:rStyle w:val="49"/>
                      <w:b/>
                      <w:bCs/>
                      <w:color w:val="000000"/>
                    </w:rPr>
                    <w:t>纬度(度)</w:t>
                  </w:r>
                </w:p>
              </w:tc>
              <w:tc>
                <w:tcPr>
                  <w:tcW w:w="1015" w:type="dxa"/>
                  <w:vAlign w:val="center"/>
                </w:tcPr>
                <w:p>
                  <w:pPr>
                    <w:jc w:val="center"/>
                    <w:rPr>
                      <w:rStyle w:val="49"/>
                      <w:b/>
                      <w:bCs/>
                      <w:color w:val="000000"/>
                    </w:rPr>
                  </w:pPr>
                  <w:r>
                    <w:rPr>
                      <w:rStyle w:val="49"/>
                      <w:b/>
                      <w:bCs/>
                      <w:color w:val="000000"/>
                    </w:rPr>
                    <w:t>海拔(m)</w:t>
                  </w:r>
                </w:p>
              </w:tc>
              <w:tc>
                <w:tcPr>
                  <w:tcW w:w="1592" w:type="dxa"/>
                  <w:vAlign w:val="center"/>
                </w:tcPr>
                <w:p>
                  <w:pPr>
                    <w:jc w:val="center"/>
                    <w:rPr>
                      <w:rStyle w:val="49"/>
                      <w:b/>
                      <w:bCs/>
                      <w:color w:val="000000"/>
                    </w:rPr>
                  </w:pPr>
                  <w:r>
                    <w:rPr>
                      <w:rStyle w:val="49"/>
                      <w:b/>
                      <w:bCs/>
                      <w:color w:val="000000"/>
                    </w:rPr>
                    <w:t>下风向距离(m)</w:t>
                  </w:r>
                </w:p>
              </w:tc>
              <w:tc>
                <w:tcPr>
                  <w:tcW w:w="1154" w:type="dxa"/>
                  <w:vAlign w:val="center"/>
                </w:tcPr>
                <w:p>
                  <w:pPr>
                    <w:jc w:val="center"/>
                    <w:rPr>
                      <w:rStyle w:val="49"/>
                      <w:b/>
                      <w:bCs/>
                      <w:color w:val="000000"/>
                    </w:rPr>
                  </w:pPr>
                  <w:r>
                    <w:rPr>
                      <w:rStyle w:val="49"/>
                      <w:b/>
                      <w:bCs/>
                      <w:color w:val="000000"/>
                    </w:rPr>
                    <w:t>氨</w:t>
                  </w:r>
                </w:p>
              </w:tc>
              <w:tc>
                <w:tcPr>
                  <w:tcW w:w="1286" w:type="dxa"/>
                  <w:vAlign w:val="center"/>
                </w:tcPr>
                <w:p>
                  <w:pPr>
                    <w:jc w:val="center"/>
                    <w:rPr>
                      <w:rStyle w:val="49"/>
                      <w:b/>
                      <w:bCs/>
                      <w:color w:val="000000"/>
                    </w:rPr>
                  </w:pPr>
                  <w:r>
                    <w:rPr>
                      <w:b/>
                      <w:bCs/>
                      <w:color w:val="000000"/>
                      <w:kern w:val="0"/>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pPr>
                    <w:jc w:val="center"/>
                    <w:rPr>
                      <w:sz w:val="21"/>
                      <w:szCs w:val="21"/>
                    </w:rPr>
                  </w:pPr>
                  <w:r>
                    <w:rPr>
                      <w:sz w:val="21"/>
                      <w:szCs w:val="21"/>
                    </w:rPr>
                    <w:t>胡潭寺</w:t>
                  </w:r>
                </w:p>
              </w:tc>
              <w:tc>
                <w:tcPr>
                  <w:tcW w:w="1304" w:type="dxa"/>
                  <w:vAlign w:val="center"/>
                </w:tcPr>
                <w:p>
                  <w:pPr>
                    <w:jc w:val="center"/>
                    <w:rPr>
                      <w:sz w:val="21"/>
                      <w:szCs w:val="21"/>
                    </w:rPr>
                  </w:pPr>
                  <w:r>
                    <w:rPr>
                      <w:sz w:val="21"/>
                      <w:szCs w:val="21"/>
                    </w:rPr>
                    <w:t>100.101181</w:t>
                  </w:r>
                </w:p>
              </w:tc>
              <w:tc>
                <w:tcPr>
                  <w:tcW w:w="1281" w:type="dxa"/>
                  <w:vAlign w:val="center"/>
                </w:tcPr>
                <w:p>
                  <w:pPr>
                    <w:jc w:val="center"/>
                    <w:rPr>
                      <w:sz w:val="21"/>
                      <w:szCs w:val="21"/>
                    </w:rPr>
                  </w:pPr>
                  <w:r>
                    <w:rPr>
                      <w:sz w:val="21"/>
                      <w:szCs w:val="21"/>
                    </w:rPr>
                    <w:t>25.984116</w:t>
                  </w:r>
                </w:p>
              </w:tc>
              <w:tc>
                <w:tcPr>
                  <w:tcW w:w="1015" w:type="dxa"/>
                  <w:vAlign w:val="center"/>
                </w:tcPr>
                <w:p>
                  <w:pPr>
                    <w:jc w:val="center"/>
                    <w:rPr>
                      <w:sz w:val="21"/>
                      <w:szCs w:val="21"/>
                    </w:rPr>
                  </w:pPr>
                  <w:r>
                    <w:rPr>
                      <w:sz w:val="21"/>
                      <w:szCs w:val="21"/>
                    </w:rPr>
                    <w:t>1971.0</w:t>
                  </w:r>
                </w:p>
              </w:tc>
              <w:tc>
                <w:tcPr>
                  <w:tcW w:w="1592" w:type="dxa"/>
                  <w:vAlign w:val="center"/>
                </w:tcPr>
                <w:p>
                  <w:pPr>
                    <w:jc w:val="center"/>
                    <w:rPr>
                      <w:sz w:val="21"/>
                      <w:szCs w:val="21"/>
                    </w:rPr>
                  </w:pPr>
                  <w:r>
                    <w:rPr>
                      <w:sz w:val="21"/>
                      <w:szCs w:val="21"/>
                    </w:rPr>
                    <w:t>504.6</w:t>
                  </w:r>
                </w:p>
              </w:tc>
              <w:tc>
                <w:tcPr>
                  <w:tcW w:w="1154" w:type="dxa"/>
                  <w:vAlign w:val="center"/>
                </w:tcPr>
                <w:p>
                  <w:pPr>
                    <w:jc w:val="center"/>
                    <w:rPr>
                      <w:sz w:val="21"/>
                      <w:szCs w:val="21"/>
                    </w:rPr>
                  </w:pPr>
                  <w:r>
                    <w:rPr>
                      <w:sz w:val="21"/>
                      <w:szCs w:val="21"/>
                    </w:rPr>
                    <w:t>0.5815</w:t>
                  </w:r>
                </w:p>
              </w:tc>
              <w:tc>
                <w:tcPr>
                  <w:tcW w:w="1286" w:type="dxa"/>
                  <w:vAlign w:val="center"/>
                </w:tcPr>
                <w:p>
                  <w:pPr>
                    <w:jc w:val="center"/>
                    <w:rPr>
                      <w:sz w:val="21"/>
                      <w:szCs w:val="21"/>
                    </w:rPr>
                  </w:pPr>
                  <w:r>
                    <w:rPr>
                      <w:sz w:val="21"/>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莲荷村</w:t>
                  </w:r>
                </w:p>
              </w:tc>
              <w:tc>
                <w:tcPr>
                  <w:tcW w:w="1304" w:type="dxa"/>
                  <w:vAlign w:val="center"/>
                </w:tcPr>
                <w:p>
                  <w:pPr>
                    <w:jc w:val="center"/>
                    <w:rPr>
                      <w:sz w:val="21"/>
                      <w:szCs w:val="21"/>
                    </w:rPr>
                  </w:pPr>
                  <w:r>
                    <w:rPr>
                      <w:sz w:val="21"/>
                      <w:szCs w:val="21"/>
                    </w:rPr>
                    <w:t>100.09322</w:t>
                  </w:r>
                </w:p>
              </w:tc>
              <w:tc>
                <w:tcPr>
                  <w:tcW w:w="1281" w:type="dxa"/>
                  <w:vAlign w:val="center"/>
                </w:tcPr>
                <w:p>
                  <w:pPr>
                    <w:jc w:val="center"/>
                    <w:rPr>
                      <w:sz w:val="21"/>
                      <w:szCs w:val="21"/>
                    </w:rPr>
                  </w:pPr>
                  <w:r>
                    <w:rPr>
                      <w:sz w:val="21"/>
                      <w:szCs w:val="21"/>
                    </w:rPr>
                    <w:t>25.989401</w:t>
                  </w:r>
                </w:p>
              </w:tc>
              <w:tc>
                <w:tcPr>
                  <w:tcW w:w="1015" w:type="dxa"/>
                  <w:vAlign w:val="center"/>
                </w:tcPr>
                <w:p>
                  <w:pPr>
                    <w:jc w:val="center"/>
                    <w:rPr>
                      <w:sz w:val="21"/>
                      <w:szCs w:val="21"/>
                    </w:rPr>
                  </w:pPr>
                  <w:r>
                    <w:rPr>
                      <w:sz w:val="21"/>
                      <w:szCs w:val="21"/>
                    </w:rPr>
                    <w:t>1975.0</w:t>
                  </w:r>
                </w:p>
              </w:tc>
              <w:tc>
                <w:tcPr>
                  <w:tcW w:w="1592" w:type="dxa"/>
                  <w:vAlign w:val="center"/>
                </w:tcPr>
                <w:p>
                  <w:pPr>
                    <w:jc w:val="center"/>
                    <w:rPr>
                      <w:sz w:val="21"/>
                      <w:szCs w:val="21"/>
                    </w:rPr>
                  </w:pPr>
                  <w:r>
                    <w:rPr>
                      <w:sz w:val="21"/>
                      <w:szCs w:val="21"/>
                    </w:rPr>
                    <w:t>502.0</w:t>
                  </w:r>
                </w:p>
              </w:tc>
              <w:tc>
                <w:tcPr>
                  <w:tcW w:w="1154" w:type="dxa"/>
                  <w:vAlign w:val="center"/>
                </w:tcPr>
                <w:p>
                  <w:pPr>
                    <w:jc w:val="center"/>
                    <w:rPr>
                      <w:sz w:val="21"/>
                      <w:szCs w:val="21"/>
                    </w:rPr>
                  </w:pPr>
                  <w:r>
                    <w:rPr>
                      <w:sz w:val="21"/>
                      <w:szCs w:val="21"/>
                    </w:rPr>
                    <w:t>0.5824</w:t>
                  </w:r>
                </w:p>
              </w:tc>
              <w:tc>
                <w:tcPr>
                  <w:tcW w:w="1286" w:type="dxa"/>
                  <w:vAlign w:val="center"/>
                </w:tcPr>
                <w:p>
                  <w:pPr>
                    <w:jc w:val="center"/>
                    <w:rPr>
                      <w:sz w:val="21"/>
                      <w:szCs w:val="21"/>
                    </w:rPr>
                  </w:pPr>
                  <w:r>
                    <w:rPr>
                      <w:sz w:val="21"/>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pPr>
                    <w:jc w:val="center"/>
                    <w:rPr>
                      <w:sz w:val="21"/>
                      <w:szCs w:val="21"/>
                    </w:rPr>
                  </w:pPr>
                  <w:r>
                    <w:rPr>
                      <w:sz w:val="21"/>
                      <w:szCs w:val="21"/>
                    </w:rPr>
                    <w:t>黄家营</w:t>
                  </w:r>
                </w:p>
              </w:tc>
              <w:tc>
                <w:tcPr>
                  <w:tcW w:w="1304" w:type="dxa"/>
                  <w:vAlign w:val="center"/>
                </w:tcPr>
                <w:p>
                  <w:pPr>
                    <w:jc w:val="center"/>
                    <w:rPr>
                      <w:sz w:val="21"/>
                      <w:szCs w:val="21"/>
                    </w:rPr>
                  </w:pPr>
                  <w:r>
                    <w:rPr>
                      <w:sz w:val="21"/>
                      <w:szCs w:val="21"/>
                    </w:rPr>
                    <w:t>100.09712</w:t>
                  </w:r>
                </w:p>
              </w:tc>
              <w:tc>
                <w:tcPr>
                  <w:tcW w:w="1281" w:type="dxa"/>
                  <w:vAlign w:val="center"/>
                </w:tcPr>
                <w:p>
                  <w:pPr>
                    <w:jc w:val="center"/>
                    <w:rPr>
                      <w:sz w:val="21"/>
                      <w:szCs w:val="21"/>
                    </w:rPr>
                  </w:pPr>
                  <w:r>
                    <w:rPr>
                      <w:sz w:val="21"/>
                      <w:szCs w:val="21"/>
                    </w:rPr>
                    <w:t>25.989064</w:t>
                  </w:r>
                </w:p>
              </w:tc>
              <w:tc>
                <w:tcPr>
                  <w:tcW w:w="1015" w:type="dxa"/>
                  <w:vAlign w:val="center"/>
                </w:tcPr>
                <w:p>
                  <w:pPr>
                    <w:jc w:val="center"/>
                    <w:rPr>
                      <w:sz w:val="21"/>
                      <w:szCs w:val="21"/>
                    </w:rPr>
                  </w:pPr>
                  <w:r>
                    <w:rPr>
                      <w:sz w:val="21"/>
                      <w:szCs w:val="21"/>
                    </w:rPr>
                    <w:t>1968.0</w:t>
                  </w:r>
                </w:p>
              </w:tc>
              <w:tc>
                <w:tcPr>
                  <w:tcW w:w="1592" w:type="dxa"/>
                  <w:vAlign w:val="center"/>
                </w:tcPr>
                <w:p>
                  <w:pPr>
                    <w:jc w:val="center"/>
                    <w:rPr>
                      <w:sz w:val="21"/>
                      <w:szCs w:val="21"/>
                    </w:rPr>
                  </w:pPr>
                  <w:r>
                    <w:rPr>
                      <w:sz w:val="21"/>
                      <w:szCs w:val="21"/>
                    </w:rPr>
                    <w:t>191.12</w:t>
                  </w:r>
                </w:p>
              </w:tc>
              <w:tc>
                <w:tcPr>
                  <w:tcW w:w="1154" w:type="dxa"/>
                  <w:vAlign w:val="center"/>
                </w:tcPr>
                <w:p>
                  <w:pPr>
                    <w:jc w:val="center"/>
                    <w:rPr>
                      <w:sz w:val="21"/>
                      <w:szCs w:val="21"/>
                    </w:rPr>
                  </w:pPr>
                  <w:r>
                    <w:rPr>
                      <w:sz w:val="21"/>
                      <w:szCs w:val="21"/>
                    </w:rPr>
                    <w:t>1.0615</w:t>
                  </w:r>
                </w:p>
              </w:tc>
              <w:tc>
                <w:tcPr>
                  <w:tcW w:w="1286" w:type="dxa"/>
                  <w:vAlign w:val="center"/>
                </w:tcPr>
                <w:p>
                  <w:pPr>
                    <w:jc w:val="center"/>
                    <w:rPr>
                      <w:sz w:val="21"/>
                      <w:szCs w:val="21"/>
                    </w:rPr>
                  </w:pPr>
                  <w:r>
                    <w:rPr>
                      <w:sz w:val="21"/>
                      <w:szCs w:val="21"/>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4" w:type="dxa"/>
                  <w:gridSpan w:val="5"/>
                  <w:vAlign w:val="center"/>
                </w:tcPr>
                <w:p>
                  <w:pPr>
                    <w:jc w:val="center"/>
                    <w:rPr>
                      <w:rStyle w:val="49"/>
                      <w:color w:val="000000"/>
                    </w:rPr>
                  </w:pPr>
                  <w:r>
                    <w:rPr>
                      <w:rStyle w:val="49"/>
                      <w:color w:val="000000"/>
                    </w:rPr>
                    <w:t>标准值</w:t>
                  </w:r>
                </w:p>
              </w:tc>
              <w:tc>
                <w:tcPr>
                  <w:tcW w:w="1154" w:type="dxa"/>
                  <w:vAlign w:val="center"/>
                </w:tcPr>
                <w:p>
                  <w:pPr>
                    <w:jc w:val="center"/>
                    <w:rPr>
                      <w:rStyle w:val="49"/>
                      <w:color w:val="000000"/>
                    </w:rPr>
                  </w:pPr>
                  <w:r>
                    <w:rPr>
                      <w:rStyle w:val="49"/>
                      <w:color w:val="000000"/>
                    </w:rPr>
                    <w:t>200</w:t>
                  </w:r>
                </w:p>
              </w:tc>
              <w:tc>
                <w:tcPr>
                  <w:tcW w:w="1286" w:type="dxa"/>
                  <w:vAlign w:val="center"/>
                </w:tcPr>
                <w:p>
                  <w:pPr>
                    <w:jc w:val="center"/>
                    <w:rPr>
                      <w:rStyle w:val="49"/>
                      <w:color w:val="000000"/>
                    </w:rPr>
                  </w:pPr>
                  <w:r>
                    <w:rPr>
                      <w:rStyle w:val="49"/>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4" w:type="dxa"/>
                  <w:gridSpan w:val="5"/>
                  <w:vAlign w:val="center"/>
                </w:tcPr>
                <w:p>
                  <w:pPr>
                    <w:jc w:val="center"/>
                    <w:rPr>
                      <w:rStyle w:val="49"/>
                      <w:color w:val="000000"/>
                    </w:rPr>
                  </w:pPr>
                  <w:r>
                    <w:rPr>
                      <w:rStyle w:val="49"/>
                      <w:color w:val="000000"/>
                    </w:rPr>
                    <w:t>达标情况</w:t>
                  </w:r>
                </w:p>
              </w:tc>
              <w:tc>
                <w:tcPr>
                  <w:tcW w:w="1154" w:type="dxa"/>
                  <w:vAlign w:val="center"/>
                </w:tcPr>
                <w:p>
                  <w:pPr>
                    <w:jc w:val="center"/>
                    <w:rPr>
                      <w:rStyle w:val="49"/>
                      <w:color w:val="000000"/>
                    </w:rPr>
                  </w:pPr>
                  <w:r>
                    <w:rPr>
                      <w:rStyle w:val="49"/>
                      <w:color w:val="000000"/>
                    </w:rPr>
                    <w:t>达标</w:t>
                  </w:r>
                </w:p>
              </w:tc>
              <w:tc>
                <w:tcPr>
                  <w:tcW w:w="1286" w:type="dxa"/>
                  <w:vAlign w:val="center"/>
                </w:tcPr>
                <w:p>
                  <w:pPr>
                    <w:jc w:val="center"/>
                    <w:rPr>
                      <w:rStyle w:val="49"/>
                      <w:color w:val="000000"/>
                    </w:rPr>
                  </w:pPr>
                  <w:r>
                    <w:rPr>
                      <w:rStyle w:val="49"/>
                      <w:color w:val="000000"/>
                    </w:rPr>
                    <w:t>达标</w:t>
                  </w:r>
                </w:p>
              </w:tc>
            </w:tr>
          </w:tbl>
          <w:p>
            <w:pPr>
              <w:adjustRightInd w:val="0"/>
              <w:snapToGrid w:val="0"/>
              <w:spacing w:beforeLines="50" w:line="360" w:lineRule="auto"/>
              <w:ind w:firstLine="482"/>
            </w:pPr>
            <w:r>
              <w:t>根据以上预测结果可知，本项目邓川污水处理厂运营期无组织排放的氨、硫化氢，在各个敏感点处的敏感点处</w:t>
            </w:r>
            <w:bookmarkStart w:id="20" w:name="_Hlk19821462"/>
            <w:r>
              <w:t>的预测浓度值均能够满足参考《环境影响评价技术导则 大气环境》（HJ2.2-2018）附录D中其他污染物空气质量浓度限值要求，即敏感点处的环境空气质量可达标，项目运营期废气对上述关心点的影响较小。</w:t>
            </w:r>
          </w:p>
          <w:bookmarkEnd w:id="20"/>
          <w:p>
            <w:pPr>
              <w:adjustRightInd w:val="0"/>
              <w:snapToGrid w:val="0"/>
              <w:spacing w:line="360" w:lineRule="auto"/>
              <w:ind w:firstLine="723" w:firstLineChars="300"/>
              <w:rPr>
                <w:b/>
                <w:bCs/>
              </w:rPr>
            </w:pPr>
            <w:r>
              <w:rPr>
                <w:rFonts w:hint="eastAsia"/>
                <w:b/>
                <w:bCs/>
              </w:rPr>
              <w:t>②右所污水处理厂</w:t>
            </w:r>
          </w:p>
          <w:p>
            <w:pPr>
              <w:adjustRightInd w:val="0"/>
              <w:snapToGrid w:val="0"/>
              <w:spacing w:line="360" w:lineRule="auto"/>
              <w:ind w:firstLine="422" w:firstLineChars="200"/>
              <w:jc w:val="center"/>
              <w:rPr>
                <w:color w:val="000000"/>
                <w:kern w:val="24"/>
                <w:szCs w:val="24"/>
              </w:rPr>
            </w:pPr>
            <w:r>
              <w:rPr>
                <w:b/>
                <w:bCs/>
                <w:color w:val="000000"/>
                <w:kern w:val="24"/>
                <w:sz w:val="21"/>
              </w:rPr>
              <w:t>表</w:t>
            </w:r>
            <w:r>
              <w:rPr>
                <w:rFonts w:hint="eastAsia"/>
                <w:b/>
                <w:bCs/>
                <w:color w:val="000000"/>
                <w:kern w:val="24"/>
                <w:sz w:val="21"/>
              </w:rPr>
              <w:t>7</w:t>
            </w:r>
            <w:r>
              <w:rPr>
                <w:b/>
                <w:bCs/>
                <w:color w:val="000000"/>
                <w:kern w:val="24"/>
                <w:sz w:val="21"/>
              </w:rPr>
              <w:t>-1</w:t>
            </w:r>
            <w:r>
              <w:rPr>
                <w:rFonts w:hint="eastAsia"/>
                <w:b/>
                <w:bCs/>
                <w:color w:val="000000"/>
                <w:kern w:val="24"/>
                <w:sz w:val="21"/>
              </w:rPr>
              <w:t>1</w:t>
            </w:r>
            <w:r>
              <w:rPr>
                <w:b/>
                <w:bCs/>
                <w:color w:val="000000"/>
                <w:kern w:val="24"/>
                <w:sz w:val="21"/>
              </w:rPr>
              <w:t xml:space="preserve">  敏感点及最大地面浓度点浓度预测结果一览表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04"/>
              <w:gridCol w:w="1281"/>
              <w:gridCol w:w="1015"/>
              <w:gridCol w:w="1592"/>
              <w:gridCol w:w="115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pPr>
                    <w:jc w:val="center"/>
                    <w:rPr>
                      <w:rStyle w:val="49"/>
                      <w:b/>
                      <w:bCs/>
                      <w:color w:val="000000"/>
                    </w:rPr>
                  </w:pPr>
                  <w:r>
                    <w:rPr>
                      <w:rStyle w:val="49"/>
                      <w:b/>
                      <w:bCs/>
                      <w:color w:val="000000"/>
                    </w:rPr>
                    <w:t>敏感点</w:t>
                  </w:r>
                </w:p>
              </w:tc>
              <w:tc>
                <w:tcPr>
                  <w:tcW w:w="5192" w:type="dxa"/>
                  <w:gridSpan w:val="4"/>
                  <w:vAlign w:val="center"/>
                </w:tcPr>
                <w:p>
                  <w:pPr>
                    <w:jc w:val="center"/>
                    <w:rPr>
                      <w:rStyle w:val="49"/>
                      <w:b/>
                      <w:bCs/>
                      <w:color w:val="000000"/>
                    </w:rPr>
                  </w:pPr>
                  <w:r>
                    <w:rPr>
                      <w:rStyle w:val="49"/>
                      <w:b/>
                      <w:bCs/>
                      <w:color w:val="000000"/>
                    </w:rPr>
                    <w:t>敏感点信息</w:t>
                  </w:r>
                </w:p>
              </w:tc>
              <w:tc>
                <w:tcPr>
                  <w:tcW w:w="2440" w:type="dxa"/>
                  <w:gridSpan w:val="2"/>
                  <w:vAlign w:val="center"/>
                </w:tcPr>
                <w:p>
                  <w:pPr>
                    <w:jc w:val="center"/>
                    <w:rPr>
                      <w:rStyle w:val="49"/>
                      <w:b/>
                      <w:bCs/>
                      <w:color w:val="000000"/>
                    </w:rPr>
                  </w:pPr>
                  <w:r>
                    <w:rPr>
                      <w:b/>
                      <w:bCs/>
                      <w:color w:val="000000"/>
                      <w:kern w:val="24"/>
                      <w:sz w:val="21"/>
                    </w:rPr>
                    <w:t>预测值</w:t>
                  </w:r>
                  <w:r>
                    <w:rPr>
                      <w:rStyle w:val="49"/>
                      <w:b/>
                      <w:bCs/>
                      <w:color w:val="000000"/>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pPr>
                    <w:jc w:val="center"/>
                    <w:rPr>
                      <w:rStyle w:val="49"/>
                      <w:b/>
                      <w:bCs/>
                      <w:color w:val="000000"/>
                    </w:rPr>
                  </w:pPr>
                </w:p>
              </w:tc>
              <w:tc>
                <w:tcPr>
                  <w:tcW w:w="1304" w:type="dxa"/>
                  <w:vAlign w:val="center"/>
                </w:tcPr>
                <w:p>
                  <w:pPr>
                    <w:jc w:val="center"/>
                    <w:rPr>
                      <w:rStyle w:val="49"/>
                      <w:b/>
                      <w:bCs/>
                      <w:color w:val="000000"/>
                    </w:rPr>
                  </w:pPr>
                  <w:r>
                    <w:rPr>
                      <w:rStyle w:val="49"/>
                      <w:b/>
                      <w:bCs/>
                      <w:color w:val="000000"/>
                    </w:rPr>
                    <w:t>经度(度)</w:t>
                  </w:r>
                </w:p>
              </w:tc>
              <w:tc>
                <w:tcPr>
                  <w:tcW w:w="1281" w:type="dxa"/>
                  <w:vAlign w:val="center"/>
                </w:tcPr>
                <w:p>
                  <w:pPr>
                    <w:jc w:val="center"/>
                    <w:rPr>
                      <w:rStyle w:val="49"/>
                      <w:b/>
                      <w:bCs/>
                      <w:color w:val="000000"/>
                    </w:rPr>
                  </w:pPr>
                  <w:r>
                    <w:rPr>
                      <w:rStyle w:val="49"/>
                      <w:b/>
                      <w:bCs/>
                      <w:color w:val="000000"/>
                    </w:rPr>
                    <w:t>纬度(度)</w:t>
                  </w:r>
                </w:p>
              </w:tc>
              <w:tc>
                <w:tcPr>
                  <w:tcW w:w="1015" w:type="dxa"/>
                  <w:vAlign w:val="center"/>
                </w:tcPr>
                <w:p>
                  <w:pPr>
                    <w:jc w:val="center"/>
                    <w:rPr>
                      <w:rStyle w:val="49"/>
                      <w:b/>
                      <w:bCs/>
                      <w:color w:val="000000"/>
                    </w:rPr>
                  </w:pPr>
                  <w:r>
                    <w:rPr>
                      <w:rStyle w:val="49"/>
                      <w:b/>
                      <w:bCs/>
                      <w:color w:val="000000"/>
                    </w:rPr>
                    <w:t>海拔(m)</w:t>
                  </w:r>
                </w:p>
              </w:tc>
              <w:tc>
                <w:tcPr>
                  <w:tcW w:w="1592" w:type="dxa"/>
                  <w:vAlign w:val="center"/>
                </w:tcPr>
                <w:p>
                  <w:pPr>
                    <w:jc w:val="center"/>
                    <w:rPr>
                      <w:rStyle w:val="49"/>
                      <w:b/>
                      <w:bCs/>
                      <w:color w:val="000000"/>
                    </w:rPr>
                  </w:pPr>
                  <w:r>
                    <w:rPr>
                      <w:rStyle w:val="49"/>
                      <w:b/>
                      <w:bCs/>
                      <w:color w:val="000000"/>
                    </w:rPr>
                    <w:t>下风向距离(m)</w:t>
                  </w:r>
                </w:p>
              </w:tc>
              <w:tc>
                <w:tcPr>
                  <w:tcW w:w="1154" w:type="dxa"/>
                  <w:vAlign w:val="center"/>
                </w:tcPr>
                <w:p>
                  <w:pPr>
                    <w:jc w:val="center"/>
                    <w:rPr>
                      <w:rStyle w:val="49"/>
                      <w:b/>
                      <w:bCs/>
                      <w:color w:val="000000"/>
                    </w:rPr>
                  </w:pPr>
                  <w:r>
                    <w:rPr>
                      <w:b/>
                      <w:bCs/>
                      <w:color w:val="000000"/>
                      <w:kern w:val="0"/>
                      <w:sz w:val="21"/>
                    </w:rPr>
                    <w:t>硫化氢</w:t>
                  </w:r>
                </w:p>
              </w:tc>
              <w:tc>
                <w:tcPr>
                  <w:tcW w:w="1286" w:type="dxa"/>
                  <w:vAlign w:val="center"/>
                </w:tcPr>
                <w:p>
                  <w:pPr>
                    <w:jc w:val="center"/>
                    <w:rPr>
                      <w:rStyle w:val="49"/>
                      <w:b/>
                      <w:bCs/>
                      <w:color w:val="000000"/>
                    </w:rPr>
                  </w:pPr>
                  <w:r>
                    <w:rPr>
                      <w:rStyle w:val="49"/>
                      <w:b/>
                      <w:bCs/>
                      <w:color w:val="00000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pPr>
                    <w:jc w:val="center"/>
                    <w:rPr>
                      <w:sz w:val="21"/>
                      <w:szCs w:val="21"/>
                    </w:rPr>
                  </w:pPr>
                  <w:r>
                    <w:rPr>
                      <w:sz w:val="21"/>
                      <w:szCs w:val="21"/>
                    </w:rPr>
                    <w:t>跃进</w:t>
                  </w:r>
                </w:p>
              </w:tc>
              <w:tc>
                <w:tcPr>
                  <w:tcW w:w="1304" w:type="dxa"/>
                  <w:vAlign w:val="center"/>
                </w:tcPr>
                <w:p>
                  <w:pPr>
                    <w:jc w:val="center"/>
                    <w:rPr>
                      <w:sz w:val="21"/>
                      <w:szCs w:val="21"/>
                    </w:rPr>
                  </w:pPr>
                  <w:r>
                    <w:rPr>
                      <w:sz w:val="21"/>
                      <w:szCs w:val="21"/>
                    </w:rPr>
                    <w:t>100.056597</w:t>
                  </w:r>
                </w:p>
              </w:tc>
              <w:tc>
                <w:tcPr>
                  <w:tcW w:w="1281" w:type="dxa"/>
                  <w:vAlign w:val="center"/>
                </w:tcPr>
                <w:p>
                  <w:pPr>
                    <w:jc w:val="center"/>
                    <w:rPr>
                      <w:sz w:val="21"/>
                      <w:szCs w:val="21"/>
                    </w:rPr>
                  </w:pPr>
                  <w:r>
                    <w:rPr>
                      <w:sz w:val="21"/>
                      <w:szCs w:val="21"/>
                    </w:rPr>
                    <w:t>26.018854</w:t>
                  </w:r>
                </w:p>
              </w:tc>
              <w:tc>
                <w:tcPr>
                  <w:tcW w:w="1015" w:type="dxa"/>
                  <w:vAlign w:val="center"/>
                </w:tcPr>
                <w:p>
                  <w:pPr>
                    <w:jc w:val="center"/>
                    <w:rPr>
                      <w:sz w:val="21"/>
                      <w:szCs w:val="21"/>
                    </w:rPr>
                  </w:pPr>
                  <w:r>
                    <w:rPr>
                      <w:sz w:val="21"/>
                      <w:szCs w:val="21"/>
                    </w:rPr>
                    <w:t>1973.0</w:t>
                  </w:r>
                </w:p>
              </w:tc>
              <w:tc>
                <w:tcPr>
                  <w:tcW w:w="1592" w:type="dxa"/>
                  <w:vAlign w:val="center"/>
                </w:tcPr>
                <w:p>
                  <w:pPr>
                    <w:jc w:val="center"/>
                    <w:rPr>
                      <w:sz w:val="21"/>
                      <w:szCs w:val="21"/>
                    </w:rPr>
                  </w:pPr>
                  <w:r>
                    <w:rPr>
                      <w:sz w:val="21"/>
                      <w:szCs w:val="21"/>
                    </w:rPr>
                    <w:t>509.49</w:t>
                  </w:r>
                </w:p>
              </w:tc>
              <w:tc>
                <w:tcPr>
                  <w:tcW w:w="1154" w:type="dxa"/>
                  <w:vAlign w:val="center"/>
                </w:tcPr>
                <w:p>
                  <w:pPr>
                    <w:jc w:val="center"/>
                    <w:rPr>
                      <w:sz w:val="21"/>
                      <w:szCs w:val="21"/>
                    </w:rPr>
                  </w:pPr>
                  <w:r>
                    <w:rPr>
                      <w:sz w:val="21"/>
                      <w:szCs w:val="21"/>
                    </w:rPr>
                    <w:t>0.0009</w:t>
                  </w:r>
                </w:p>
              </w:tc>
              <w:tc>
                <w:tcPr>
                  <w:tcW w:w="1286" w:type="dxa"/>
                  <w:vAlign w:val="center"/>
                </w:tcPr>
                <w:p>
                  <w:pPr>
                    <w:jc w:val="center"/>
                    <w:rPr>
                      <w:sz w:val="21"/>
                      <w:szCs w:val="21"/>
                    </w:rPr>
                  </w:pPr>
                  <w:r>
                    <w:rPr>
                      <w:sz w:val="21"/>
                      <w:szCs w:val="21"/>
                    </w:rPr>
                    <w:t>0.2898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李家营</w:t>
                  </w:r>
                </w:p>
              </w:tc>
              <w:tc>
                <w:tcPr>
                  <w:tcW w:w="1304" w:type="dxa"/>
                  <w:vAlign w:val="center"/>
                </w:tcPr>
                <w:p>
                  <w:pPr>
                    <w:jc w:val="center"/>
                    <w:rPr>
                      <w:sz w:val="21"/>
                      <w:szCs w:val="21"/>
                    </w:rPr>
                  </w:pPr>
                  <w:r>
                    <w:rPr>
                      <w:sz w:val="21"/>
                      <w:szCs w:val="21"/>
                    </w:rPr>
                    <w:t>100.05782</w:t>
                  </w:r>
                </w:p>
              </w:tc>
              <w:tc>
                <w:tcPr>
                  <w:tcW w:w="1281" w:type="dxa"/>
                  <w:vAlign w:val="center"/>
                </w:tcPr>
                <w:p>
                  <w:pPr>
                    <w:jc w:val="center"/>
                    <w:rPr>
                      <w:sz w:val="21"/>
                      <w:szCs w:val="21"/>
                    </w:rPr>
                  </w:pPr>
                  <w:r>
                    <w:rPr>
                      <w:sz w:val="21"/>
                      <w:szCs w:val="21"/>
                    </w:rPr>
                    <w:t>26.018401</w:t>
                  </w:r>
                </w:p>
              </w:tc>
              <w:tc>
                <w:tcPr>
                  <w:tcW w:w="1015" w:type="dxa"/>
                  <w:vAlign w:val="center"/>
                </w:tcPr>
                <w:p>
                  <w:pPr>
                    <w:jc w:val="center"/>
                    <w:rPr>
                      <w:sz w:val="21"/>
                      <w:szCs w:val="21"/>
                    </w:rPr>
                  </w:pPr>
                  <w:r>
                    <w:rPr>
                      <w:sz w:val="21"/>
                      <w:szCs w:val="21"/>
                    </w:rPr>
                    <w:t>1971.0</w:t>
                  </w:r>
                </w:p>
              </w:tc>
              <w:tc>
                <w:tcPr>
                  <w:tcW w:w="1592" w:type="dxa"/>
                  <w:vAlign w:val="center"/>
                </w:tcPr>
                <w:p>
                  <w:pPr>
                    <w:jc w:val="center"/>
                    <w:rPr>
                      <w:sz w:val="21"/>
                      <w:szCs w:val="21"/>
                    </w:rPr>
                  </w:pPr>
                  <w:r>
                    <w:rPr>
                      <w:sz w:val="21"/>
                      <w:szCs w:val="21"/>
                    </w:rPr>
                    <w:t>581.69</w:t>
                  </w:r>
                </w:p>
              </w:tc>
              <w:tc>
                <w:tcPr>
                  <w:tcW w:w="1154" w:type="dxa"/>
                  <w:vAlign w:val="center"/>
                </w:tcPr>
                <w:p>
                  <w:pPr>
                    <w:jc w:val="center"/>
                    <w:rPr>
                      <w:sz w:val="21"/>
                      <w:szCs w:val="21"/>
                    </w:rPr>
                  </w:pPr>
                  <w:r>
                    <w:rPr>
                      <w:sz w:val="21"/>
                      <w:szCs w:val="21"/>
                    </w:rPr>
                    <w:t>0.0009</w:t>
                  </w:r>
                </w:p>
              </w:tc>
              <w:tc>
                <w:tcPr>
                  <w:tcW w:w="1286" w:type="dxa"/>
                  <w:vAlign w:val="center"/>
                </w:tcPr>
                <w:p>
                  <w:pPr>
                    <w:jc w:val="center"/>
                    <w:rPr>
                      <w:sz w:val="21"/>
                      <w:szCs w:val="21"/>
                    </w:rPr>
                  </w:pPr>
                  <w:r>
                    <w:rPr>
                      <w:sz w:val="21"/>
                      <w:szCs w:val="21"/>
                    </w:rPr>
                    <w:t>0.2785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pPr>
                    <w:jc w:val="center"/>
                    <w:rPr>
                      <w:sz w:val="21"/>
                      <w:szCs w:val="21"/>
                    </w:rPr>
                  </w:pPr>
                  <w:r>
                    <w:rPr>
                      <w:sz w:val="21"/>
                      <w:szCs w:val="21"/>
                    </w:rPr>
                    <w:t>银后村</w:t>
                  </w:r>
                </w:p>
              </w:tc>
              <w:tc>
                <w:tcPr>
                  <w:tcW w:w="1304" w:type="dxa"/>
                  <w:vAlign w:val="center"/>
                </w:tcPr>
                <w:p>
                  <w:pPr>
                    <w:jc w:val="center"/>
                    <w:rPr>
                      <w:sz w:val="21"/>
                      <w:szCs w:val="21"/>
                    </w:rPr>
                  </w:pPr>
                  <w:r>
                    <w:rPr>
                      <w:sz w:val="21"/>
                      <w:szCs w:val="21"/>
                    </w:rPr>
                    <w:t>100.055395</w:t>
                  </w:r>
                </w:p>
              </w:tc>
              <w:tc>
                <w:tcPr>
                  <w:tcW w:w="1281" w:type="dxa"/>
                  <w:vAlign w:val="center"/>
                </w:tcPr>
                <w:p>
                  <w:pPr>
                    <w:jc w:val="center"/>
                    <w:rPr>
                      <w:sz w:val="21"/>
                      <w:szCs w:val="21"/>
                    </w:rPr>
                  </w:pPr>
                  <w:r>
                    <w:rPr>
                      <w:sz w:val="21"/>
                      <w:szCs w:val="21"/>
                    </w:rPr>
                    <w:t>26.01735</w:t>
                  </w:r>
                </w:p>
              </w:tc>
              <w:tc>
                <w:tcPr>
                  <w:tcW w:w="1015" w:type="dxa"/>
                  <w:vAlign w:val="center"/>
                </w:tcPr>
                <w:p>
                  <w:pPr>
                    <w:jc w:val="center"/>
                    <w:rPr>
                      <w:sz w:val="21"/>
                      <w:szCs w:val="21"/>
                    </w:rPr>
                  </w:pPr>
                  <w:r>
                    <w:rPr>
                      <w:sz w:val="21"/>
                      <w:szCs w:val="21"/>
                    </w:rPr>
                    <w:t>1970.0</w:t>
                  </w:r>
                </w:p>
              </w:tc>
              <w:tc>
                <w:tcPr>
                  <w:tcW w:w="1592" w:type="dxa"/>
                  <w:vAlign w:val="center"/>
                </w:tcPr>
                <w:p>
                  <w:pPr>
                    <w:jc w:val="center"/>
                    <w:rPr>
                      <w:sz w:val="21"/>
                      <w:szCs w:val="21"/>
                    </w:rPr>
                  </w:pPr>
                  <w:r>
                    <w:rPr>
                      <w:sz w:val="21"/>
                      <w:szCs w:val="21"/>
                    </w:rPr>
                    <w:t>313.39</w:t>
                  </w:r>
                </w:p>
              </w:tc>
              <w:tc>
                <w:tcPr>
                  <w:tcW w:w="1154" w:type="dxa"/>
                  <w:vAlign w:val="center"/>
                </w:tcPr>
                <w:p>
                  <w:pPr>
                    <w:jc w:val="center"/>
                    <w:rPr>
                      <w:sz w:val="21"/>
                      <w:szCs w:val="21"/>
                    </w:rPr>
                  </w:pPr>
                  <w:r>
                    <w:rPr>
                      <w:sz w:val="21"/>
                      <w:szCs w:val="21"/>
                    </w:rPr>
                    <w:t>0.0012</w:t>
                  </w:r>
                </w:p>
              </w:tc>
              <w:tc>
                <w:tcPr>
                  <w:tcW w:w="1286" w:type="dxa"/>
                  <w:vAlign w:val="center"/>
                </w:tcPr>
                <w:p>
                  <w:pPr>
                    <w:jc w:val="center"/>
                    <w:rPr>
                      <w:sz w:val="21"/>
                      <w:szCs w:val="21"/>
                    </w:rPr>
                  </w:pPr>
                  <w:r>
                    <w:rPr>
                      <w:sz w:val="21"/>
                      <w:szCs w:val="21"/>
                    </w:rPr>
                    <w:t>0.3939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pPr>
                    <w:jc w:val="center"/>
                    <w:rPr>
                      <w:sz w:val="21"/>
                      <w:szCs w:val="21"/>
                    </w:rPr>
                  </w:pPr>
                  <w:r>
                    <w:rPr>
                      <w:sz w:val="21"/>
                      <w:szCs w:val="21"/>
                    </w:rPr>
                    <w:t>官德村</w:t>
                  </w:r>
                </w:p>
              </w:tc>
              <w:tc>
                <w:tcPr>
                  <w:tcW w:w="1304" w:type="dxa"/>
                  <w:vAlign w:val="center"/>
                </w:tcPr>
                <w:p>
                  <w:pPr>
                    <w:jc w:val="center"/>
                    <w:rPr>
                      <w:sz w:val="21"/>
                      <w:szCs w:val="21"/>
                    </w:rPr>
                  </w:pPr>
                  <w:r>
                    <w:rPr>
                      <w:sz w:val="21"/>
                      <w:szCs w:val="21"/>
                    </w:rPr>
                    <w:t>100.052745</w:t>
                  </w:r>
                </w:p>
              </w:tc>
              <w:tc>
                <w:tcPr>
                  <w:tcW w:w="1281" w:type="dxa"/>
                  <w:vAlign w:val="center"/>
                </w:tcPr>
                <w:p>
                  <w:pPr>
                    <w:jc w:val="center"/>
                    <w:rPr>
                      <w:sz w:val="21"/>
                      <w:szCs w:val="21"/>
                    </w:rPr>
                  </w:pPr>
                  <w:r>
                    <w:rPr>
                      <w:sz w:val="21"/>
                      <w:szCs w:val="21"/>
                    </w:rPr>
                    <w:t>26.01949</w:t>
                  </w:r>
                </w:p>
              </w:tc>
              <w:tc>
                <w:tcPr>
                  <w:tcW w:w="1015" w:type="dxa"/>
                  <w:vAlign w:val="center"/>
                </w:tcPr>
                <w:p>
                  <w:pPr>
                    <w:jc w:val="center"/>
                    <w:rPr>
                      <w:sz w:val="21"/>
                      <w:szCs w:val="21"/>
                    </w:rPr>
                  </w:pPr>
                  <w:r>
                    <w:rPr>
                      <w:sz w:val="21"/>
                      <w:szCs w:val="21"/>
                    </w:rPr>
                    <w:t>1972.0</w:t>
                  </w:r>
                </w:p>
              </w:tc>
              <w:tc>
                <w:tcPr>
                  <w:tcW w:w="1592" w:type="dxa"/>
                  <w:vAlign w:val="center"/>
                </w:tcPr>
                <w:p>
                  <w:pPr>
                    <w:jc w:val="center"/>
                    <w:rPr>
                      <w:sz w:val="21"/>
                      <w:szCs w:val="21"/>
                    </w:rPr>
                  </w:pPr>
                  <w:r>
                    <w:rPr>
                      <w:sz w:val="21"/>
                      <w:szCs w:val="21"/>
                    </w:rPr>
                    <w:t>401.69</w:t>
                  </w:r>
                </w:p>
              </w:tc>
              <w:tc>
                <w:tcPr>
                  <w:tcW w:w="1154" w:type="dxa"/>
                  <w:vAlign w:val="center"/>
                </w:tcPr>
                <w:p>
                  <w:pPr>
                    <w:jc w:val="center"/>
                    <w:rPr>
                      <w:sz w:val="21"/>
                      <w:szCs w:val="21"/>
                    </w:rPr>
                  </w:pPr>
                  <w:r>
                    <w:rPr>
                      <w:sz w:val="21"/>
                      <w:szCs w:val="21"/>
                    </w:rPr>
                    <w:t>0.0010</w:t>
                  </w:r>
                </w:p>
              </w:tc>
              <w:tc>
                <w:tcPr>
                  <w:tcW w:w="1286" w:type="dxa"/>
                  <w:vAlign w:val="center"/>
                </w:tcPr>
                <w:p>
                  <w:pPr>
                    <w:jc w:val="center"/>
                    <w:rPr>
                      <w:sz w:val="21"/>
                      <w:szCs w:val="21"/>
                    </w:rPr>
                  </w:pPr>
                  <w:r>
                    <w:rPr>
                      <w:sz w:val="21"/>
                      <w:szCs w:val="21"/>
                    </w:rPr>
                    <w:t>0.3302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4" w:type="dxa"/>
                  <w:gridSpan w:val="5"/>
                  <w:vAlign w:val="center"/>
                </w:tcPr>
                <w:p>
                  <w:pPr>
                    <w:jc w:val="center"/>
                    <w:rPr>
                      <w:rStyle w:val="49"/>
                      <w:color w:val="000000"/>
                    </w:rPr>
                  </w:pPr>
                  <w:r>
                    <w:rPr>
                      <w:rStyle w:val="49"/>
                      <w:color w:val="000000"/>
                    </w:rPr>
                    <w:t>标准值</w:t>
                  </w:r>
                </w:p>
              </w:tc>
              <w:tc>
                <w:tcPr>
                  <w:tcW w:w="1154" w:type="dxa"/>
                  <w:vAlign w:val="center"/>
                </w:tcPr>
                <w:p>
                  <w:pPr>
                    <w:jc w:val="center"/>
                    <w:rPr>
                      <w:rStyle w:val="49"/>
                      <w:color w:val="000000"/>
                    </w:rPr>
                  </w:pPr>
                  <w:r>
                    <w:rPr>
                      <w:rStyle w:val="49"/>
                      <w:color w:val="000000"/>
                    </w:rPr>
                    <w:t>10</w:t>
                  </w:r>
                </w:p>
              </w:tc>
              <w:tc>
                <w:tcPr>
                  <w:tcW w:w="1286" w:type="dxa"/>
                  <w:vAlign w:val="center"/>
                </w:tcPr>
                <w:p>
                  <w:pPr>
                    <w:jc w:val="center"/>
                    <w:rPr>
                      <w:rStyle w:val="49"/>
                      <w:color w:val="000000"/>
                    </w:rPr>
                  </w:pPr>
                  <w:r>
                    <w:rPr>
                      <w:rStyle w:val="49"/>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达标情况</w:t>
                  </w:r>
                </w:p>
              </w:tc>
              <w:tc>
                <w:tcPr>
                  <w:tcW w:w="1154" w:type="dxa"/>
                  <w:vAlign w:val="center"/>
                </w:tcPr>
                <w:p>
                  <w:pPr>
                    <w:jc w:val="center"/>
                    <w:rPr>
                      <w:rStyle w:val="49"/>
                      <w:color w:val="000000"/>
                    </w:rPr>
                  </w:pPr>
                  <w:r>
                    <w:rPr>
                      <w:rStyle w:val="49"/>
                      <w:color w:val="000000"/>
                    </w:rPr>
                    <w:t>达标</w:t>
                  </w:r>
                </w:p>
              </w:tc>
              <w:tc>
                <w:tcPr>
                  <w:tcW w:w="1286" w:type="dxa"/>
                  <w:vAlign w:val="center"/>
                </w:tcPr>
                <w:p>
                  <w:pPr>
                    <w:jc w:val="center"/>
                    <w:rPr>
                      <w:rStyle w:val="49"/>
                      <w:color w:val="000000"/>
                    </w:rPr>
                  </w:pPr>
                  <w:r>
                    <w:rPr>
                      <w:rStyle w:val="49"/>
                      <w:color w:val="000000"/>
                    </w:rPr>
                    <w:t>达标</w:t>
                  </w:r>
                </w:p>
              </w:tc>
            </w:tr>
          </w:tbl>
          <w:p>
            <w:pPr>
              <w:adjustRightInd w:val="0"/>
              <w:snapToGrid w:val="0"/>
              <w:spacing w:beforeLines="50" w:line="360" w:lineRule="auto"/>
              <w:ind w:firstLine="482"/>
              <w:rPr>
                <w:color w:val="000000"/>
                <w:szCs w:val="32"/>
              </w:rPr>
            </w:pPr>
            <w:r>
              <w:t>根据以上预测结果可知，本项目</w:t>
            </w:r>
            <w:r>
              <w:rPr>
                <w:rFonts w:hint="eastAsia"/>
              </w:rPr>
              <w:t>右所</w:t>
            </w:r>
            <w:r>
              <w:t>污水处理厂运营期无组织排放的氨、硫化氢，在各个敏感点处的敏感点处的预测浓度值均能够满足参考《环境影响评价技术导则 大气环境》（HJ2.2-2018）附录D中其他污染物空气质量浓度限值要求，即敏感点处的环境空气质量可达标，项目运营期废气对上述关心点的影响较小。</w:t>
            </w:r>
          </w:p>
          <w:p>
            <w:pPr>
              <w:adjustRightInd w:val="0"/>
              <w:snapToGrid w:val="0"/>
              <w:spacing w:line="360" w:lineRule="auto"/>
              <w:ind w:firstLine="482" w:firstLineChars="200"/>
              <w:rPr>
                <w:b/>
                <w:bCs/>
              </w:rPr>
            </w:pPr>
            <w:r>
              <w:rPr>
                <w:rFonts w:hint="eastAsia"/>
                <w:b/>
                <w:bCs/>
              </w:rPr>
              <w:t>③牛街污水处理厂</w:t>
            </w:r>
          </w:p>
          <w:p>
            <w:pPr>
              <w:adjustRightInd w:val="0"/>
              <w:snapToGrid w:val="0"/>
              <w:spacing w:line="360" w:lineRule="auto"/>
              <w:ind w:firstLine="422" w:firstLineChars="200"/>
              <w:jc w:val="center"/>
              <w:rPr>
                <w:color w:val="000000"/>
                <w:kern w:val="24"/>
                <w:szCs w:val="24"/>
              </w:rPr>
            </w:pPr>
            <w:r>
              <w:rPr>
                <w:b/>
                <w:bCs/>
                <w:color w:val="000000"/>
                <w:kern w:val="24"/>
                <w:sz w:val="21"/>
              </w:rPr>
              <w:t>表</w:t>
            </w:r>
            <w:r>
              <w:rPr>
                <w:rFonts w:hint="eastAsia"/>
                <w:b/>
                <w:bCs/>
                <w:color w:val="000000"/>
                <w:kern w:val="24"/>
                <w:sz w:val="21"/>
              </w:rPr>
              <w:t>7-12</w:t>
            </w:r>
            <w:r>
              <w:rPr>
                <w:b/>
                <w:bCs/>
                <w:color w:val="000000"/>
                <w:kern w:val="24"/>
                <w:sz w:val="21"/>
              </w:rPr>
              <w:t xml:space="preserve"> 敏感点及最大地面浓度点浓度预测结果一览表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04"/>
              <w:gridCol w:w="1281"/>
              <w:gridCol w:w="1015"/>
              <w:gridCol w:w="1592"/>
              <w:gridCol w:w="115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pPr>
                    <w:jc w:val="center"/>
                    <w:rPr>
                      <w:rStyle w:val="49"/>
                      <w:b/>
                      <w:bCs/>
                      <w:color w:val="000000"/>
                    </w:rPr>
                  </w:pPr>
                  <w:r>
                    <w:rPr>
                      <w:rStyle w:val="49"/>
                      <w:b/>
                      <w:bCs/>
                      <w:color w:val="000000"/>
                    </w:rPr>
                    <w:t>敏感点</w:t>
                  </w:r>
                </w:p>
              </w:tc>
              <w:tc>
                <w:tcPr>
                  <w:tcW w:w="5192" w:type="dxa"/>
                  <w:gridSpan w:val="4"/>
                  <w:vAlign w:val="center"/>
                </w:tcPr>
                <w:p>
                  <w:pPr>
                    <w:jc w:val="center"/>
                    <w:rPr>
                      <w:rStyle w:val="49"/>
                      <w:b/>
                      <w:bCs/>
                      <w:color w:val="000000"/>
                    </w:rPr>
                  </w:pPr>
                  <w:r>
                    <w:rPr>
                      <w:rStyle w:val="49"/>
                      <w:b/>
                      <w:bCs/>
                      <w:color w:val="000000"/>
                    </w:rPr>
                    <w:t>敏感点信息</w:t>
                  </w:r>
                </w:p>
              </w:tc>
              <w:tc>
                <w:tcPr>
                  <w:tcW w:w="2440" w:type="dxa"/>
                  <w:gridSpan w:val="2"/>
                  <w:vAlign w:val="center"/>
                </w:tcPr>
                <w:p>
                  <w:pPr>
                    <w:jc w:val="center"/>
                    <w:rPr>
                      <w:rStyle w:val="49"/>
                      <w:b/>
                      <w:bCs/>
                      <w:color w:val="000000"/>
                    </w:rPr>
                  </w:pPr>
                  <w:r>
                    <w:rPr>
                      <w:b/>
                      <w:bCs/>
                      <w:color w:val="000000"/>
                      <w:kern w:val="24"/>
                      <w:sz w:val="21"/>
                    </w:rPr>
                    <w:t>预测值</w:t>
                  </w:r>
                  <w:r>
                    <w:rPr>
                      <w:rStyle w:val="49"/>
                      <w:b/>
                      <w:bCs/>
                      <w:color w:val="000000"/>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pPr>
                    <w:jc w:val="center"/>
                    <w:rPr>
                      <w:rStyle w:val="49"/>
                      <w:b/>
                      <w:bCs/>
                      <w:color w:val="000000"/>
                    </w:rPr>
                  </w:pPr>
                </w:p>
              </w:tc>
              <w:tc>
                <w:tcPr>
                  <w:tcW w:w="1304" w:type="dxa"/>
                  <w:vAlign w:val="center"/>
                </w:tcPr>
                <w:p>
                  <w:pPr>
                    <w:jc w:val="center"/>
                    <w:rPr>
                      <w:rStyle w:val="49"/>
                      <w:b/>
                      <w:bCs/>
                      <w:color w:val="000000"/>
                    </w:rPr>
                  </w:pPr>
                  <w:r>
                    <w:rPr>
                      <w:rStyle w:val="49"/>
                      <w:b/>
                      <w:bCs/>
                      <w:color w:val="000000"/>
                    </w:rPr>
                    <w:t>经度(度)</w:t>
                  </w:r>
                </w:p>
              </w:tc>
              <w:tc>
                <w:tcPr>
                  <w:tcW w:w="1281" w:type="dxa"/>
                  <w:vAlign w:val="center"/>
                </w:tcPr>
                <w:p>
                  <w:pPr>
                    <w:jc w:val="center"/>
                    <w:rPr>
                      <w:rStyle w:val="49"/>
                      <w:b/>
                      <w:bCs/>
                      <w:color w:val="000000"/>
                    </w:rPr>
                  </w:pPr>
                  <w:r>
                    <w:rPr>
                      <w:rStyle w:val="49"/>
                      <w:b/>
                      <w:bCs/>
                      <w:color w:val="000000"/>
                    </w:rPr>
                    <w:t>纬度(度)</w:t>
                  </w:r>
                </w:p>
              </w:tc>
              <w:tc>
                <w:tcPr>
                  <w:tcW w:w="1015" w:type="dxa"/>
                  <w:vAlign w:val="center"/>
                </w:tcPr>
                <w:p>
                  <w:pPr>
                    <w:jc w:val="center"/>
                    <w:rPr>
                      <w:rStyle w:val="49"/>
                      <w:b/>
                      <w:bCs/>
                      <w:color w:val="000000"/>
                    </w:rPr>
                  </w:pPr>
                  <w:r>
                    <w:rPr>
                      <w:rStyle w:val="49"/>
                      <w:b/>
                      <w:bCs/>
                      <w:color w:val="000000"/>
                    </w:rPr>
                    <w:t>海拔(m)</w:t>
                  </w:r>
                </w:p>
              </w:tc>
              <w:tc>
                <w:tcPr>
                  <w:tcW w:w="1592" w:type="dxa"/>
                  <w:vAlign w:val="center"/>
                </w:tcPr>
                <w:p>
                  <w:pPr>
                    <w:jc w:val="center"/>
                    <w:rPr>
                      <w:rStyle w:val="49"/>
                      <w:b/>
                      <w:bCs/>
                      <w:color w:val="000000"/>
                    </w:rPr>
                  </w:pPr>
                  <w:r>
                    <w:rPr>
                      <w:rStyle w:val="49"/>
                      <w:b/>
                      <w:bCs/>
                      <w:color w:val="000000"/>
                    </w:rPr>
                    <w:t>下风向距离(m)</w:t>
                  </w:r>
                </w:p>
              </w:tc>
              <w:tc>
                <w:tcPr>
                  <w:tcW w:w="1154" w:type="dxa"/>
                  <w:vAlign w:val="center"/>
                </w:tcPr>
                <w:p>
                  <w:pPr>
                    <w:jc w:val="center"/>
                    <w:rPr>
                      <w:rStyle w:val="49"/>
                      <w:b/>
                      <w:bCs/>
                      <w:color w:val="000000"/>
                    </w:rPr>
                  </w:pPr>
                  <w:r>
                    <w:rPr>
                      <w:b/>
                      <w:bCs/>
                      <w:color w:val="000000"/>
                      <w:kern w:val="0"/>
                      <w:sz w:val="21"/>
                    </w:rPr>
                    <w:t>硫化氢</w:t>
                  </w:r>
                </w:p>
              </w:tc>
              <w:tc>
                <w:tcPr>
                  <w:tcW w:w="1286" w:type="dxa"/>
                  <w:vAlign w:val="center"/>
                </w:tcPr>
                <w:p>
                  <w:pPr>
                    <w:jc w:val="center"/>
                    <w:rPr>
                      <w:rStyle w:val="49"/>
                      <w:b/>
                      <w:bCs/>
                      <w:color w:val="000000"/>
                    </w:rPr>
                  </w:pPr>
                  <w:r>
                    <w:rPr>
                      <w:rStyle w:val="49"/>
                      <w:b/>
                      <w:bCs/>
                      <w:color w:val="00000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Align w:val="center"/>
                </w:tcPr>
                <w:p>
                  <w:pPr>
                    <w:jc w:val="center"/>
                    <w:rPr>
                      <w:sz w:val="21"/>
                      <w:szCs w:val="21"/>
                    </w:rPr>
                  </w:pPr>
                  <w:r>
                    <w:rPr>
                      <w:sz w:val="21"/>
                      <w:szCs w:val="21"/>
                    </w:rPr>
                    <w:t>仕登村</w:t>
                  </w:r>
                </w:p>
              </w:tc>
              <w:tc>
                <w:tcPr>
                  <w:tcW w:w="1304" w:type="dxa"/>
                  <w:vAlign w:val="center"/>
                </w:tcPr>
                <w:p>
                  <w:pPr>
                    <w:jc w:val="center"/>
                    <w:rPr>
                      <w:sz w:val="21"/>
                      <w:szCs w:val="21"/>
                    </w:rPr>
                  </w:pPr>
                  <w:r>
                    <w:rPr>
                      <w:sz w:val="21"/>
                      <w:szCs w:val="21"/>
                    </w:rPr>
                    <w:t>99.985158</w:t>
                  </w:r>
                </w:p>
              </w:tc>
              <w:tc>
                <w:tcPr>
                  <w:tcW w:w="1281" w:type="dxa"/>
                  <w:vAlign w:val="center"/>
                </w:tcPr>
                <w:p>
                  <w:pPr>
                    <w:jc w:val="center"/>
                    <w:rPr>
                      <w:sz w:val="21"/>
                      <w:szCs w:val="21"/>
                    </w:rPr>
                  </w:pPr>
                  <w:r>
                    <w:rPr>
                      <w:sz w:val="21"/>
                      <w:szCs w:val="21"/>
                    </w:rPr>
                    <w:t>26.242884</w:t>
                  </w:r>
                </w:p>
              </w:tc>
              <w:tc>
                <w:tcPr>
                  <w:tcW w:w="1015" w:type="dxa"/>
                  <w:vAlign w:val="center"/>
                </w:tcPr>
                <w:p>
                  <w:pPr>
                    <w:jc w:val="center"/>
                    <w:rPr>
                      <w:sz w:val="21"/>
                      <w:szCs w:val="21"/>
                    </w:rPr>
                  </w:pPr>
                  <w:r>
                    <w:rPr>
                      <w:sz w:val="21"/>
                      <w:szCs w:val="21"/>
                    </w:rPr>
                    <w:t>2094.0</w:t>
                  </w:r>
                </w:p>
              </w:tc>
              <w:tc>
                <w:tcPr>
                  <w:tcW w:w="1592" w:type="dxa"/>
                  <w:vAlign w:val="center"/>
                </w:tcPr>
                <w:p>
                  <w:pPr>
                    <w:jc w:val="center"/>
                    <w:rPr>
                      <w:sz w:val="21"/>
                      <w:szCs w:val="21"/>
                    </w:rPr>
                  </w:pPr>
                  <w:r>
                    <w:rPr>
                      <w:sz w:val="21"/>
                      <w:szCs w:val="21"/>
                    </w:rPr>
                    <w:t>524.68</w:t>
                  </w:r>
                </w:p>
              </w:tc>
              <w:tc>
                <w:tcPr>
                  <w:tcW w:w="1154" w:type="dxa"/>
                  <w:vAlign w:val="center"/>
                </w:tcPr>
                <w:p>
                  <w:pPr>
                    <w:jc w:val="center"/>
                    <w:rPr>
                      <w:sz w:val="21"/>
                      <w:szCs w:val="21"/>
                    </w:rPr>
                  </w:pPr>
                  <w:r>
                    <w:rPr>
                      <w:sz w:val="21"/>
                      <w:szCs w:val="21"/>
                    </w:rPr>
                    <w:t>0.0009</w:t>
                  </w:r>
                </w:p>
              </w:tc>
              <w:tc>
                <w:tcPr>
                  <w:tcW w:w="1286" w:type="dxa"/>
                  <w:vAlign w:val="center"/>
                </w:tcPr>
                <w:p>
                  <w:pPr>
                    <w:jc w:val="center"/>
                    <w:rPr>
                      <w:sz w:val="21"/>
                      <w:szCs w:val="21"/>
                    </w:rPr>
                  </w:pPr>
                  <w:r>
                    <w:rPr>
                      <w:sz w:val="21"/>
                      <w:szCs w:val="21"/>
                    </w:rPr>
                    <w:t>0.2943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文登村</w:t>
                  </w:r>
                </w:p>
              </w:tc>
              <w:tc>
                <w:tcPr>
                  <w:tcW w:w="1304" w:type="dxa"/>
                  <w:vAlign w:val="center"/>
                </w:tcPr>
                <w:p>
                  <w:pPr>
                    <w:jc w:val="center"/>
                    <w:rPr>
                      <w:sz w:val="21"/>
                      <w:szCs w:val="21"/>
                    </w:rPr>
                  </w:pPr>
                  <w:r>
                    <w:rPr>
                      <w:sz w:val="21"/>
                      <w:szCs w:val="21"/>
                    </w:rPr>
                    <w:t>99.984128</w:t>
                  </w:r>
                </w:p>
              </w:tc>
              <w:tc>
                <w:tcPr>
                  <w:tcW w:w="1281" w:type="dxa"/>
                  <w:vAlign w:val="center"/>
                </w:tcPr>
                <w:p>
                  <w:pPr>
                    <w:jc w:val="center"/>
                    <w:rPr>
                      <w:sz w:val="21"/>
                      <w:szCs w:val="21"/>
                    </w:rPr>
                  </w:pPr>
                  <w:r>
                    <w:rPr>
                      <w:sz w:val="21"/>
                      <w:szCs w:val="21"/>
                    </w:rPr>
                    <w:t>26.247965</w:t>
                  </w:r>
                </w:p>
              </w:tc>
              <w:tc>
                <w:tcPr>
                  <w:tcW w:w="1015" w:type="dxa"/>
                  <w:vAlign w:val="center"/>
                </w:tcPr>
                <w:p>
                  <w:pPr>
                    <w:jc w:val="center"/>
                    <w:rPr>
                      <w:sz w:val="21"/>
                      <w:szCs w:val="21"/>
                    </w:rPr>
                  </w:pPr>
                  <w:r>
                    <w:rPr>
                      <w:sz w:val="21"/>
                      <w:szCs w:val="21"/>
                    </w:rPr>
                    <w:t>2094.0</w:t>
                  </w:r>
                </w:p>
              </w:tc>
              <w:tc>
                <w:tcPr>
                  <w:tcW w:w="1592" w:type="dxa"/>
                  <w:vAlign w:val="center"/>
                </w:tcPr>
                <w:p>
                  <w:pPr>
                    <w:jc w:val="center"/>
                    <w:rPr>
                      <w:sz w:val="21"/>
                      <w:szCs w:val="21"/>
                    </w:rPr>
                  </w:pPr>
                  <w:r>
                    <w:rPr>
                      <w:sz w:val="21"/>
                      <w:szCs w:val="21"/>
                    </w:rPr>
                    <w:t>60.19</w:t>
                  </w:r>
                </w:p>
              </w:tc>
              <w:tc>
                <w:tcPr>
                  <w:tcW w:w="1154" w:type="dxa"/>
                  <w:vAlign w:val="center"/>
                </w:tcPr>
                <w:p>
                  <w:pPr>
                    <w:jc w:val="center"/>
                    <w:rPr>
                      <w:sz w:val="21"/>
                      <w:szCs w:val="21"/>
                    </w:rPr>
                  </w:pPr>
                  <w:r>
                    <w:rPr>
                      <w:sz w:val="21"/>
                      <w:szCs w:val="21"/>
                    </w:rPr>
                    <w:t>0.0038</w:t>
                  </w:r>
                </w:p>
              </w:tc>
              <w:tc>
                <w:tcPr>
                  <w:tcW w:w="1286" w:type="dxa"/>
                  <w:vAlign w:val="center"/>
                </w:tcPr>
                <w:p>
                  <w:pPr>
                    <w:jc w:val="center"/>
                    <w:rPr>
                      <w:sz w:val="21"/>
                      <w:szCs w:val="21"/>
                    </w:rPr>
                  </w:pPr>
                  <w:r>
                    <w:rPr>
                      <w:sz w:val="21"/>
                      <w:szCs w:val="21"/>
                    </w:rPr>
                    <w:t>1.2087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4" w:type="dxa"/>
                  <w:gridSpan w:val="5"/>
                  <w:vAlign w:val="center"/>
                </w:tcPr>
                <w:p>
                  <w:pPr>
                    <w:jc w:val="center"/>
                    <w:rPr>
                      <w:rStyle w:val="49"/>
                      <w:color w:val="000000"/>
                    </w:rPr>
                  </w:pPr>
                  <w:r>
                    <w:rPr>
                      <w:rStyle w:val="49"/>
                      <w:color w:val="000000"/>
                    </w:rPr>
                    <w:t>标准值</w:t>
                  </w:r>
                </w:p>
              </w:tc>
              <w:tc>
                <w:tcPr>
                  <w:tcW w:w="1154" w:type="dxa"/>
                  <w:vAlign w:val="center"/>
                </w:tcPr>
                <w:p>
                  <w:pPr>
                    <w:jc w:val="center"/>
                    <w:rPr>
                      <w:rStyle w:val="49"/>
                      <w:color w:val="000000"/>
                    </w:rPr>
                  </w:pPr>
                  <w:r>
                    <w:rPr>
                      <w:rStyle w:val="49"/>
                      <w:color w:val="000000"/>
                    </w:rPr>
                    <w:t>10</w:t>
                  </w:r>
                </w:p>
              </w:tc>
              <w:tc>
                <w:tcPr>
                  <w:tcW w:w="1286" w:type="dxa"/>
                  <w:vAlign w:val="center"/>
                </w:tcPr>
                <w:p>
                  <w:pPr>
                    <w:jc w:val="center"/>
                    <w:rPr>
                      <w:rStyle w:val="49"/>
                      <w:color w:val="000000"/>
                    </w:rPr>
                  </w:pPr>
                  <w:r>
                    <w:rPr>
                      <w:rStyle w:val="49"/>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4" w:type="dxa"/>
                  <w:gridSpan w:val="5"/>
                  <w:vAlign w:val="center"/>
                </w:tcPr>
                <w:p>
                  <w:pPr>
                    <w:jc w:val="center"/>
                    <w:rPr>
                      <w:rStyle w:val="49"/>
                      <w:color w:val="000000"/>
                    </w:rPr>
                  </w:pPr>
                  <w:r>
                    <w:rPr>
                      <w:rStyle w:val="49"/>
                      <w:color w:val="000000"/>
                    </w:rPr>
                    <w:t>达标情况</w:t>
                  </w:r>
                </w:p>
              </w:tc>
              <w:tc>
                <w:tcPr>
                  <w:tcW w:w="1154" w:type="dxa"/>
                  <w:vAlign w:val="center"/>
                </w:tcPr>
                <w:p>
                  <w:pPr>
                    <w:jc w:val="center"/>
                    <w:rPr>
                      <w:rStyle w:val="49"/>
                      <w:color w:val="000000"/>
                    </w:rPr>
                  </w:pPr>
                  <w:r>
                    <w:rPr>
                      <w:rStyle w:val="49"/>
                      <w:color w:val="000000"/>
                    </w:rPr>
                    <w:t>达标</w:t>
                  </w:r>
                </w:p>
              </w:tc>
              <w:tc>
                <w:tcPr>
                  <w:tcW w:w="1286" w:type="dxa"/>
                  <w:vAlign w:val="center"/>
                </w:tcPr>
                <w:p>
                  <w:pPr>
                    <w:jc w:val="center"/>
                    <w:rPr>
                      <w:rStyle w:val="49"/>
                      <w:color w:val="000000"/>
                    </w:rPr>
                  </w:pPr>
                  <w:r>
                    <w:rPr>
                      <w:rStyle w:val="49"/>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4" w:type="dxa"/>
                  <w:gridSpan w:val="7"/>
                  <w:vAlign w:val="center"/>
                </w:tcPr>
                <w:p>
                  <w:pPr>
                    <w:rPr>
                      <w:rStyle w:val="49"/>
                      <w:color w:val="000000"/>
                    </w:rPr>
                  </w:pPr>
                  <w:r>
                    <w:rPr>
                      <w:rStyle w:val="49"/>
                      <w:rFonts w:hint="eastAsia" w:ascii="黑体" w:hAnsi="黑体" w:eastAsia="黑体" w:cs="黑体"/>
                      <w:color w:val="000000"/>
                      <w:sz w:val="18"/>
                      <w:szCs w:val="18"/>
                    </w:rPr>
                    <w:t>注：由于《环境空气质量标准》（GB 3095-2012）中无氨、硫化氢的标准限值，故氨、硫化氢的环境质量浓度参考《环境影响评价技术导则 大气环境》（HJ2.2-2018）附录D中其他污染物空气质量浓度限值。</w:t>
                  </w:r>
                </w:p>
              </w:tc>
            </w:tr>
          </w:tbl>
          <w:p>
            <w:pPr>
              <w:spacing w:line="360" w:lineRule="auto"/>
              <w:ind w:firstLine="480"/>
            </w:pPr>
            <w:r>
              <w:t>根据以上预测结果可知，本项目</w:t>
            </w:r>
            <w:r>
              <w:rPr>
                <w:rFonts w:hint="eastAsia"/>
              </w:rPr>
              <w:t>牛街</w:t>
            </w:r>
            <w:r>
              <w:t>污水处理厂运营期无组织排放的氨、硫化氢，在各个敏感点处的敏感点处的预测浓度值均能够满足参考《环境影响评价技术导则 大气环境》（HJ2.2-2018）附录D中其他污染物空气质量浓度限值要求，即敏感点处的环境空气质量可达标，项目运营期废气对上述关心点的影响较小。</w:t>
            </w:r>
          </w:p>
          <w:p>
            <w:pPr>
              <w:spacing w:line="360" w:lineRule="auto"/>
              <w:ind w:firstLine="480"/>
              <w:rPr>
                <w:b/>
                <w:bCs/>
                <w:color w:val="FF0000"/>
              </w:rPr>
            </w:pPr>
            <w:r>
              <w:rPr>
                <w:rFonts w:hint="eastAsia"/>
                <w:b/>
                <w:bCs/>
                <w:color w:val="FF0000"/>
              </w:rPr>
              <w:t>2）类比分析</w:t>
            </w:r>
          </w:p>
          <w:p>
            <w:pPr>
              <w:spacing w:line="360" w:lineRule="auto"/>
              <w:ind w:firstLine="480"/>
              <w:rPr>
                <w:color w:val="FF0000"/>
                <w:szCs w:val="24"/>
              </w:rPr>
            </w:pPr>
            <w:r>
              <w:rPr>
                <w:rFonts w:hint="eastAsia"/>
                <w:color w:val="FF0000"/>
                <w:szCs w:val="24"/>
              </w:rPr>
              <w:t>本项目新建牛街污水厂二期采用“A</w:t>
            </w:r>
            <w:r>
              <w:rPr>
                <w:rFonts w:hint="eastAsia"/>
                <w:color w:val="FF0000"/>
                <w:szCs w:val="24"/>
                <w:vertAlign w:val="superscript"/>
              </w:rPr>
              <w:t>2</w:t>
            </w:r>
            <w:r>
              <w:rPr>
                <w:rFonts w:hint="eastAsia"/>
                <w:color w:val="FF0000"/>
                <w:szCs w:val="24"/>
              </w:rPr>
              <w:t>O+MBR工艺”，处理规模为1000m</w:t>
            </w:r>
            <w:r>
              <w:rPr>
                <w:rFonts w:hint="eastAsia"/>
                <w:color w:val="FF0000"/>
                <w:szCs w:val="24"/>
                <w:vertAlign w:val="superscript"/>
              </w:rPr>
              <w:t>3</w:t>
            </w:r>
            <w:r>
              <w:rPr>
                <w:rFonts w:hint="eastAsia"/>
                <w:color w:val="FF0000"/>
                <w:szCs w:val="24"/>
              </w:rPr>
              <w:t>/d，污水处理规模及工艺均与三营污水处理厂相同，且三营污水厂于2018年建设，目前已处于正常运行。因此，本项目废气影响分析将引用三营污水处理厂竣工环境保护验收时的厂界无组织废气监测结果加以说明。</w:t>
            </w:r>
          </w:p>
          <w:p>
            <w:pPr>
              <w:spacing w:line="360" w:lineRule="auto"/>
              <w:ind w:firstLine="480"/>
              <w:rPr>
                <w:color w:val="FF0000"/>
                <w:szCs w:val="24"/>
              </w:rPr>
            </w:pPr>
            <w:r>
              <w:rPr>
                <w:rFonts w:hint="eastAsia"/>
                <w:color w:val="FF0000"/>
                <w:szCs w:val="24"/>
              </w:rPr>
              <w:t>根据2018年12月4日~5日，昆明绿岛环境科技有限公司对三营污水处理厂厂界无组织废气进行了验收监测。</w:t>
            </w:r>
            <w:r>
              <w:rPr>
                <w:rFonts w:hint="eastAsia"/>
                <w:color w:val="FF0000"/>
              </w:rPr>
              <w:t>项目验收监测期间，厂界无组织废气硫化氢浓度最大值为0.011mg/m</w:t>
            </w:r>
            <w:r>
              <w:rPr>
                <w:rFonts w:hint="eastAsia"/>
                <w:color w:val="FF0000"/>
                <w:vertAlign w:val="superscript"/>
              </w:rPr>
              <w:t>3</w:t>
            </w:r>
            <w:r>
              <w:rPr>
                <w:rFonts w:hint="eastAsia"/>
                <w:color w:val="FF0000"/>
              </w:rPr>
              <w:t>，氨气浓度最大值为0.10mg/m</w:t>
            </w:r>
            <w:r>
              <w:rPr>
                <w:rFonts w:hint="eastAsia"/>
                <w:color w:val="FF0000"/>
                <w:vertAlign w:val="superscript"/>
              </w:rPr>
              <w:t>3</w:t>
            </w:r>
            <w:r>
              <w:rPr>
                <w:rFonts w:hint="eastAsia"/>
                <w:color w:val="FF0000"/>
              </w:rPr>
              <w:t>，臭气浓度＜10，各污染物均能够达到《城镇污水处理厂污染物排放标准》（GB18918-2002）表4中二级标准要求，即：厂界无组织废气能够达标排放。且本项目邓川和右所污水厂采用CWT一体化工艺，设备均为封闭式，产生恶臭远比三营、牛街污水厂小得多。综上所述，项目污水厂产生的废气对周围大气环境影响较小。</w:t>
            </w:r>
          </w:p>
          <w:p>
            <w:pPr>
              <w:spacing w:line="360" w:lineRule="auto"/>
              <w:ind w:firstLine="480"/>
              <w:rPr>
                <w:b/>
                <w:bCs/>
              </w:rPr>
            </w:pPr>
            <w:r>
              <w:rPr>
                <w:rFonts w:hint="eastAsia"/>
                <w:b/>
                <w:bCs/>
              </w:rPr>
              <w:t xml:space="preserve">（2）大气防护距离 </w:t>
            </w:r>
          </w:p>
          <w:p>
            <w:pPr>
              <w:spacing w:line="360" w:lineRule="auto"/>
              <w:ind w:firstLine="480"/>
            </w:pPr>
            <w:r>
              <w:rPr>
                <w:rFonts w:hint="eastAsia"/>
              </w:rPr>
              <w:t>大气环境防护距离是为保护人群健康，减少正常排放条件下大气污染物对居住区的环境影响，在项目厂界以外设置的环境防护距离。计算出的距离是以污染源中心点为起点的控制距离，即结合厂区平面布置图，确定控制距离范围，超出厂界以外的范围即为项目大气环境防护区域；在大气环境防护距离内不应有长期居住的人群。</w:t>
            </w:r>
          </w:p>
          <w:p>
            <w:pPr>
              <w:spacing w:line="360" w:lineRule="auto"/>
              <w:ind w:firstLine="480"/>
            </w:pPr>
            <w:r>
              <w:rPr>
                <w:rFonts w:hint="eastAsia"/>
              </w:rPr>
              <w:t>根据《环境影响评价技术导则—大气环境》(HJ2.2-2018)，“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360" w:lineRule="auto"/>
              <w:ind w:firstLine="480"/>
            </w:pPr>
            <w:r>
              <w:rPr>
                <w:rFonts w:hint="eastAsia"/>
              </w:rPr>
              <w:t>根据上表的预测结果可知，本项目运营期</w:t>
            </w:r>
            <w:bookmarkStart w:id="21" w:name="_Hlk19822164"/>
            <w:r>
              <w:rPr>
                <w:rFonts w:hint="eastAsia"/>
              </w:rPr>
              <w:t>三座污水处理厂在厂界外任何一点的短期浓度均符合区域环境质量标准的要求，无超标点。</w:t>
            </w:r>
            <w:bookmarkEnd w:id="21"/>
            <w:r>
              <w:rPr>
                <w:rFonts w:hint="eastAsia"/>
              </w:rPr>
              <w:t>因此，本项目不设置大气环境防护距离。</w:t>
            </w:r>
          </w:p>
          <w:p>
            <w:pPr>
              <w:spacing w:line="360" w:lineRule="auto"/>
              <w:ind w:firstLine="480"/>
              <w:rPr>
                <w:b/>
                <w:bCs/>
              </w:rPr>
            </w:pPr>
            <w:r>
              <w:rPr>
                <w:rFonts w:hint="eastAsia"/>
                <w:b/>
                <w:bCs/>
              </w:rPr>
              <w:t>（3）卫生防护距离</w:t>
            </w:r>
          </w:p>
          <w:p>
            <w:pPr>
              <w:adjustRightInd w:val="0"/>
              <w:snapToGrid w:val="0"/>
              <w:spacing w:line="360" w:lineRule="auto"/>
              <w:ind w:firstLine="482"/>
              <w:rPr>
                <w:b/>
                <w:bCs/>
              </w:rPr>
            </w:pPr>
            <w:r>
              <w:rPr>
                <w:color w:val="000000"/>
                <w:kern w:val="0"/>
                <w:szCs w:val="24"/>
              </w:rPr>
              <w:t>根据《制定地方大气污染物排放标准的技术方法》（GB/T13201-91）</w:t>
            </w:r>
            <w:r>
              <w:rPr>
                <w:rFonts w:hint="eastAsia"/>
                <w:color w:val="000000"/>
                <w:kern w:val="0"/>
                <w:szCs w:val="24"/>
              </w:rPr>
              <w:t>7.2的</w:t>
            </w:r>
            <w:r>
              <w:rPr>
                <w:color w:val="000000"/>
                <w:kern w:val="0"/>
                <w:szCs w:val="24"/>
              </w:rPr>
              <w:t>规定，</w:t>
            </w:r>
            <w:r>
              <w:rPr>
                <w:rFonts w:hint="eastAsia"/>
                <w:color w:val="000000"/>
                <w:kern w:val="0"/>
                <w:szCs w:val="24"/>
              </w:rPr>
              <w:t>“无组织排放的有害气体，其浓度如果超过</w:t>
            </w:r>
            <w:r>
              <w:rPr>
                <w:kern w:val="32"/>
              </w:rPr>
              <w:t>《环境空气质量标准》（GB</w:t>
            </w:r>
            <w:r>
              <w:rPr>
                <w:rFonts w:hint="eastAsia"/>
                <w:kern w:val="32"/>
              </w:rPr>
              <w:t xml:space="preserve"> </w:t>
            </w:r>
            <w:r>
              <w:rPr>
                <w:kern w:val="32"/>
              </w:rPr>
              <w:t>3095-2012）</w:t>
            </w:r>
            <w:r>
              <w:rPr>
                <w:rFonts w:hint="eastAsia"/>
                <w:kern w:val="32"/>
              </w:rPr>
              <w:t>与《工业企业卫生设计标准》（TJ36-79）规定的居住区容许浓度限值，则</w:t>
            </w:r>
            <w:r>
              <w:rPr>
                <w:color w:val="000000"/>
                <w:kern w:val="0"/>
                <w:szCs w:val="24"/>
              </w:rPr>
              <w:t>无组织排放</w:t>
            </w:r>
            <w:r>
              <w:rPr>
                <w:rFonts w:hint="eastAsia"/>
                <w:color w:val="000000"/>
                <w:kern w:val="0"/>
                <w:szCs w:val="24"/>
              </w:rPr>
              <w:t>源所在</w:t>
            </w:r>
            <w:r>
              <w:rPr>
                <w:color w:val="000000"/>
                <w:kern w:val="0"/>
                <w:szCs w:val="24"/>
              </w:rPr>
              <w:t>的生产单元与居住区之间应设置卫生防护距离</w:t>
            </w:r>
            <w:r>
              <w:rPr>
                <w:rFonts w:hint="eastAsia"/>
                <w:color w:val="000000"/>
                <w:kern w:val="0"/>
                <w:szCs w:val="24"/>
              </w:rPr>
              <w:t>”。根据影响预测结果，本项目三座污水处理厂的最大一次落地浓度值均未超过</w:t>
            </w:r>
            <w:r>
              <w:t>《环境影响评价技术导则 大气环境》（HJ2.2-2018）附录D中其他污染物空气质量浓度限值</w:t>
            </w:r>
            <w:r>
              <w:rPr>
                <w:rFonts w:hint="eastAsia"/>
              </w:rPr>
              <w:t>及</w:t>
            </w:r>
            <w:r>
              <w:rPr>
                <w:rFonts w:hint="eastAsia"/>
                <w:kern w:val="32"/>
              </w:rPr>
              <w:t>《工业企业卫生设计标准》（TJ36-79）规定的居住区容许浓度限值（氨：0.20mg/m</w:t>
            </w:r>
            <w:r>
              <w:rPr>
                <w:rFonts w:hint="eastAsia"/>
                <w:kern w:val="32"/>
                <w:vertAlign w:val="superscript"/>
              </w:rPr>
              <w:t>3</w:t>
            </w:r>
            <w:r>
              <w:rPr>
                <w:rFonts w:hint="eastAsia"/>
                <w:kern w:val="32"/>
              </w:rPr>
              <w:t>，硫化氢：0.01mg/m</w:t>
            </w:r>
            <w:r>
              <w:rPr>
                <w:rFonts w:hint="eastAsia"/>
                <w:kern w:val="32"/>
                <w:vertAlign w:val="superscript"/>
              </w:rPr>
              <w:t>3</w:t>
            </w:r>
            <w:r>
              <w:rPr>
                <w:rFonts w:hint="eastAsia"/>
                <w:kern w:val="32"/>
              </w:rPr>
              <w:t>）。因此，根据上述分析，本项目可以不设置卫生防护距离。</w:t>
            </w:r>
          </w:p>
          <w:p>
            <w:pPr>
              <w:adjustRightInd w:val="0"/>
              <w:snapToGrid w:val="0"/>
              <w:spacing w:line="360" w:lineRule="auto"/>
              <w:ind w:firstLine="482"/>
            </w:pPr>
            <w:r>
              <w:rPr>
                <w:rFonts w:hint="eastAsia"/>
              </w:rPr>
              <w:t>根据《城镇污水处理厂污染物排放标准》（GB18918-2002）4.2.1.3的相关要求“新建（包括改、扩建城市污水处理厂周边应建设绿化带，并设一定的防护距离，防护距离的大小由环境影响评价确定）”。因此，根据上述分析论证，本项目均不需要设置大气防护距离和卫生防护距离。</w:t>
            </w:r>
          </w:p>
          <w:p>
            <w:pPr>
              <w:adjustRightInd w:val="0"/>
              <w:snapToGrid w:val="0"/>
              <w:spacing w:line="360" w:lineRule="auto"/>
              <w:ind w:firstLine="482"/>
            </w:pPr>
            <w:r>
              <w:rPr>
                <w:rFonts w:hint="eastAsia"/>
              </w:rPr>
              <w:t>但是根据现场踏勘调查，本项目牛街污水厂紧邻北面的居民点，因此项目运营过程中，应定期做好与附近村民的调查访问工作，及时了解本项目对周围环境的影响程度，根据村民的建议与意见采取有效的改进措施，如有必要，应将牛街污水厂污水处理单元的无组织排放的臭气通过密封收集处理后改为以有组织的形式排放。</w:t>
            </w:r>
          </w:p>
          <w:p>
            <w:pPr>
              <w:adjustRightInd w:val="0"/>
              <w:snapToGrid w:val="0"/>
              <w:spacing w:line="360" w:lineRule="auto"/>
              <w:ind w:firstLine="480"/>
              <w:rPr>
                <w:b/>
                <w:bCs/>
              </w:rPr>
            </w:pPr>
            <w:r>
              <w:rPr>
                <w:rFonts w:hint="eastAsia"/>
                <w:b/>
                <w:bCs/>
              </w:rPr>
              <w:t>（3）大气环境影响分析结论</w:t>
            </w:r>
          </w:p>
          <w:p>
            <w:pPr>
              <w:adjustRightInd w:val="0"/>
              <w:snapToGrid w:val="0"/>
              <w:spacing w:line="360" w:lineRule="auto"/>
              <w:ind w:firstLine="480"/>
              <w:rPr>
                <w:color w:val="FF0000"/>
              </w:rPr>
            </w:pPr>
            <w:r>
              <w:rPr>
                <w:rFonts w:hint="eastAsia"/>
                <w:color w:val="FF0000"/>
              </w:rPr>
              <w:t>本项目邓川、右所污水处理厂均采用的CWT</w:t>
            </w:r>
            <w:r>
              <w:rPr>
                <w:rFonts w:hAnsi="宋体"/>
                <w:color w:val="FF0000"/>
              </w:rPr>
              <w:t>一体化工艺</w:t>
            </w:r>
            <w:r>
              <w:rPr>
                <w:rFonts w:hint="eastAsia" w:hAnsi="宋体"/>
                <w:color w:val="FF0000"/>
              </w:rPr>
              <w:t>，产生的臭气影响较传统的生化处理工艺小，根据目前洱海流域内原有同类污水处理站运行的情况，污水站周围无明显异味。根据预测分析，三座污水处理厂的主要恶臭污染物也均能够能到相关标准的要求，</w:t>
            </w:r>
            <w:r>
              <w:rPr>
                <w:rFonts w:hint="eastAsia"/>
                <w:color w:val="FF0000"/>
              </w:rPr>
              <w:t>且根据现场踏勘调查，项目污水处理厂内臭气对人体的直接感官刺激基本不明显。但牛街厂与最近村民的距离较近，根据走访询问，项目试运行至今均为收到附近村民有关臭气影响的投诉和建议，也未发生有关的污染纠纷事件。同时，由于三座污水处理厂进水浓度较低，且与周围敏感点最近的目牛街污水厂已采取了半封闭盖板的形式处理，产生的臭气对周围环境的影响较小。根据预测结果，三座污水处理厂臭气对周围保护目标的总体影响不大。</w:t>
            </w:r>
          </w:p>
          <w:p>
            <w:pPr>
              <w:spacing w:line="360" w:lineRule="auto"/>
              <w:ind w:firstLine="482" w:firstLineChars="200"/>
              <w:rPr>
                <w:b/>
                <w:szCs w:val="24"/>
              </w:rPr>
            </w:pPr>
            <w:r>
              <w:rPr>
                <w:b/>
                <w:szCs w:val="24"/>
              </w:rPr>
              <w:t>2、</w:t>
            </w:r>
            <w:r>
              <w:rPr>
                <w:rFonts w:hint="eastAsia"/>
                <w:b/>
                <w:szCs w:val="24"/>
              </w:rPr>
              <w:t>水环境影响分析</w:t>
            </w:r>
          </w:p>
          <w:p>
            <w:pPr>
              <w:pStyle w:val="2"/>
              <w:spacing w:line="360" w:lineRule="auto"/>
              <w:ind w:firstLine="556" w:firstLineChars="232"/>
              <w:jc w:val="both"/>
              <w:rPr>
                <w:rFonts w:cs="宋体"/>
              </w:rPr>
            </w:pPr>
            <w:r>
              <w:rPr>
                <w:rFonts w:hint="eastAsia" w:cs="宋体"/>
              </w:rPr>
              <w:t>根据《环境影响评价技术导则 地表水环境》（</w:t>
            </w:r>
            <w:r>
              <w:rPr>
                <w:rFonts w:cs="宋体"/>
              </w:rPr>
              <w:t>HJ2.3-2018</w:t>
            </w:r>
            <w:r>
              <w:rPr>
                <w:rFonts w:hint="eastAsia" w:cs="宋体"/>
              </w:rPr>
              <w:t>）规定，地表水评价工作等级按照影响类别、排放方式、排放量或者影响情况、受纳水体环境质量现状、水环境保护目标等综合确定。评价等级按下表的分级判据进行划分：</w:t>
            </w:r>
          </w:p>
          <w:p>
            <w:pPr>
              <w:spacing w:line="360" w:lineRule="auto"/>
              <w:jc w:val="center"/>
              <w:rPr>
                <w:b/>
                <w:color w:val="000000"/>
                <w:sz w:val="21"/>
              </w:rPr>
            </w:pPr>
            <w:r>
              <w:rPr>
                <w:b/>
                <w:color w:val="000000"/>
                <w:sz w:val="21"/>
              </w:rPr>
              <w:t>表</w:t>
            </w:r>
            <w:r>
              <w:rPr>
                <w:rFonts w:hint="eastAsia"/>
                <w:b/>
                <w:color w:val="000000"/>
                <w:sz w:val="21"/>
              </w:rPr>
              <w:t>7-13</w:t>
            </w:r>
            <w:r>
              <w:rPr>
                <w:b/>
                <w:color w:val="000000"/>
                <w:sz w:val="21"/>
              </w:rPr>
              <w:t xml:space="preserve">  水污染影响型建设项目评价等级判定</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3"/>
              <w:gridCol w:w="2863"/>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Merge w:val="restart"/>
                  <w:vAlign w:val="center"/>
                </w:tcPr>
                <w:p>
                  <w:pPr>
                    <w:jc w:val="center"/>
                    <w:rPr>
                      <w:b/>
                      <w:bCs/>
                      <w:color w:val="000000"/>
                      <w:sz w:val="21"/>
                    </w:rPr>
                  </w:pPr>
                  <w:r>
                    <w:rPr>
                      <w:b/>
                      <w:bCs/>
                      <w:color w:val="000000"/>
                      <w:sz w:val="21"/>
                    </w:rPr>
                    <w:t>评价等级</w:t>
                  </w:r>
                </w:p>
              </w:tc>
              <w:tc>
                <w:tcPr>
                  <w:tcW w:w="5729" w:type="dxa"/>
                  <w:gridSpan w:val="2"/>
                  <w:vAlign w:val="center"/>
                </w:tcPr>
                <w:p>
                  <w:pPr>
                    <w:jc w:val="center"/>
                    <w:rPr>
                      <w:b/>
                      <w:bCs/>
                      <w:color w:val="000000"/>
                      <w:sz w:val="21"/>
                    </w:rPr>
                  </w:pPr>
                  <w:r>
                    <w:rPr>
                      <w:b/>
                      <w:bCs/>
                      <w:color w:val="000000"/>
                      <w:sz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Merge w:val="continue"/>
                  <w:vAlign w:val="center"/>
                </w:tcPr>
                <w:p>
                  <w:pPr>
                    <w:jc w:val="center"/>
                    <w:rPr>
                      <w:b/>
                      <w:bCs/>
                      <w:color w:val="000000"/>
                      <w:sz w:val="21"/>
                    </w:rPr>
                  </w:pPr>
                </w:p>
              </w:tc>
              <w:tc>
                <w:tcPr>
                  <w:tcW w:w="2863" w:type="dxa"/>
                  <w:vAlign w:val="center"/>
                </w:tcPr>
                <w:p>
                  <w:pPr>
                    <w:jc w:val="center"/>
                    <w:rPr>
                      <w:b/>
                      <w:bCs/>
                      <w:color w:val="000000"/>
                      <w:sz w:val="21"/>
                    </w:rPr>
                  </w:pPr>
                  <w:r>
                    <w:rPr>
                      <w:b/>
                      <w:bCs/>
                      <w:color w:val="000000"/>
                      <w:sz w:val="21"/>
                    </w:rPr>
                    <w:t>排放方式</w:t>
                  </w:r>
                </w:p>
              </w:tc>
              <w:tc>
                <w:tcPr>
                  <w:tcW w:w="2866" w:type="dxa"/>
                  <w:vAlign w:val="center"/>
                </w:tcPr>
                <w:p>
                  <w:pPr>
                    <w:jc w:val="center"/>
                    <w:rPr>
                      <w:b/>
                      <w:bCs/>
                      <w:color w:val="000000"/>
                      <w:sz w:val="21"/>
                    </w:rPr>
                  </w:pPr>
                  <w:r>
                    <w:rPr>
                      <w:b/>
                      <w:bCs/>
                      <w:color w:val="000000"/>
                      <w:sz w:val="21"/>
                    </w:rPr>
                    <w:t>废水排放量Q/（m</w:t>
                  </w:r>
                  <w:r>
                    <w:rPr>
                      <w:b/>
                      <w:bCs/>
                      <w:color w:val="000000"/>
                      <w:sz w:val="21"/>
                      <w:vertAlign w:val="superscript"/>
                    </w:rPr>
                    <w:t>3</w:t>
                  </w:r>
                  <w:r>
                    <w:rPr>
                      <w:b/>
                      <w:bCs/>
                      <w:color w:val="000000"/>
                      <w:sz w:val="21"/>
                    </w:rPr>
                    <w:t>/d）；</w:t>
                  </w:r>
                </w:p>
                <w:p>
                  <w:pPr>
                    <w:jc w:val="center"/>
                    <w:rPr>
                      <w:b/>
                      <w:bCs/>
                      <w:color w:val="000000"/>
                      <w:sz w:val="21"/>
                    </w:rPr>
                  </w:pPr>
                  <w:r>
                    <w:rPr>
                      <w:b/>
                      <w:bCs/>
                      <w:color w:val="000000"/>
                      <w:sz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Align w:val="center"/>
                </w:tcPr>
                <w:p>
                  <w:pPr>
                    <w:jc w:val="center"/>
                    <w:rPr>
                      <w:color w:val="000000"/>
                      <w:sz w:val="21"/>
                    </w:rPr>
                  </w:pPr>
                  <w:r>
                    <w:rPr>
                      <w:color w:val="000000"/>
                      <w:sz w:val="21"/>
                    </w:rPr>
                    <w:t>一级</w:t>
                  </w:r>
                </w:p>
              </w:tc>
              <w:tc>
                <w:tcPr>
                  <w:tcW w:w="2863" w:type="dxa"/>
                  <w:vAlign w:val="center"/>
                </w:tcPr>
                <w:p>
                  <w:pPr>
                    <w:jc w:val="center"/>
                    <w:rPr>
                      <w:color w:val="000000"/>
                      <w:sz w:val="21"/>
                    </w:rPr>
                  </w:pPr>
                  <w:r>
                    <w:rPr>
                      <w:color w:val="000000"/>
                      <w:sz w:val="21"/>
                    </w:rPr>
                    <w:t>直接排放</w:t>
                  </w:r>
                </w:p>
              </w:tc>
              <w:tc>
                <w:tcPr>
                  <w:tcW w:w="2866" w:type="dxa"/>
                  <w:vAlign w:val="center"/>
                </w:tcPr>
                <w:p>
                  <w:pPr>
                    <w:jc w:val="center"/>
                    <w:rPr>
                      <w:color w:val="000000"/>
                      <w:sz w:val="21"/>
                    </w:rPr>
                  </w:pPr>
                  <w:r>
                    <w:rPr>
                      <w:color w:val="000000"/>
                      <w:sz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Align w:val="center"/>
                </w:tcPr>
                <w:p>
                  <w:pPr>
                    <w:jc w:val="center"/>
                    <w:rPr>
                      <w:color w:val="000000"/>
                      <w:sz w:val="21"/>
                    </w:rPr>
                  </w:pPr>
                  <w:r>
                    <w:rPr>
                      <w:color w:val="000000"/>
                      <w:sz w:val="21"/>
                    </w:rPr>
                    <w:t>二级</w:t>
                  </w:r>
                </w:p>
              </w:tc>
              <w:tc>
                <w:tcPr>
                  <w:tcW w:w="2863" w:type="dxa"/>
                  <w:vAlign w:val="center"/>
                </w:tcPr>
                <w:p>
                  <w:pPr>
                    <w:jc w:val="center"/>
                    <w:rPr>
                      <w:color w:val="000000"/>
                      <w:sz w:val="21"/>
                    </w:rPr>
                  </w:pPr>
                  <w:r>
                    <w:rPr>
                      <w:color w:val="000000"/>
                      <w:sz w:val="21"/>
                    </w:rPr>
                    <w:t>直接排放</w:t>
                  </w:r>
                </w:p>
              </w:tc>
              <w:tc>
                <w:tcPr>
                  <w:tcW w:w="2866" w:type="dxa"/>
                  <w:vAlign w:val="center"/>
                </w:tcPr>
                <w:p>
                  <w:pPr>
                    <w:jc w:val="center"/>
                    <w:rPr>
                      <w:color w:val="000000"/>
                      <w:sz w:val="21"/>
                    </w:rPr>
                  </w:pPr>
                  <w:r>
                    <w:rPr>
                      <w:color w:val="000000"/>
                      <w:sz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Align w:val="center"/>
                </w:tcPr>
                <w:p>
                  <w:pPr>
                    <w:jc w:val="center"/>
                    <w:rPr>
                      <w:color w:val="000000"/>
                      <w:sz w:val="21"/>
                    </w:rPr>
                  </w:pPr>
                  <w:r>
                    <w:rPr>
                      <w:color w:val="000000"/>
                      <w:sz w:val="21"/>
                    </w:rPr>
                    <w:t>三级A</w:t>
                  </w:r>
                </w:p>
              </w:tc>
              <w:tc>
                <w:tcPr>
                  <w:tcW w:w="2863" w:type="dxa"/>
                  <w:vAlign w:val="center"/>
                </w:tcPr>
                <w:p>
                  <w:pPr>
                    <w:jc w:val="center"/>
                    <w:rPr>
                      <w:color w:val="000000"/>
                      <w:sz w:val="21"/>
                    </w:rPr>
                  </w:pPr>
                  <w:r>
                    <w:rPr>
                      <w:color w:val="000000"/>
                      <w:sz w:val="21"/>
                    </w:rPr>
                    <w:t>直接排放</w:t>
                  </w:r>
                </w:p>
              </w:tc>
              <w:tc>
                <w:tcPr>
                  <w:tcW w:w="2866" w:type="dxa"/>
                  <w:vAlign w:val="center"/>
                </w:tcPr>
                <w:p>
                  <w:pPr>
                    <w:jc w:val="center"/>
                    <w:rPr>
                      <w:color w:val="000000"/>
                      <w:sz w:val="21"/>
                    </w:rPr>
                  </w:pPr>
                  <w:r>
                    <w:rPr>
                      <w:color w:val="000000"/>
                      <w:sz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Align w:val="center"/>
                </w:tcPr>
                <w:p>
                  <w:pPr>
                    <w:jc w:val="center"/>
                    <w:rPr>
                      <w:color w:val="000000"/>
                      <w:sz w:val="21"/>
                    </w:rPr>
                  </w:pPr>
                  <w:r>
                    <w:rPr>
                      <w:color w:val="000000"/>
                      <w:sz w:val="21"/>
                    </w:rPr>
                    <w:t>三级B</w:t>
                  </w:r>
                </w:p>
              </w:tc>
              <w:tc>
                <w:tcPr>
                  <w:tcW w:w="2863" w:type="dxa"/>
                  <w:vAlign w:val="center"/>
                </w:tcPr>
                <w:p>
                  <w:pPr>
                    <w:jc w:val="center"/>
                    <w:rPr>
                      <w:color w:val="000000"/>
                      <w:sz w:val="21"/>
                    </w:rPr>
                  </w:pPr>
                  <w:r>
                    <w:rPr>
                      <w:color w:val="000000"/>
                      <w:sz w:val="21"/>
                    </w:rPr>
                    <w:t>间接排放</w:t>
                  </w:r>
                </w:p>
              </w:tc>
              <w:tc>
                <w:tcPr>
                  <w:tcW w:w="2866" w:type="dxa"/>
                  <w:vAlign w:val="center"/>
                </w:tcPr>
                <w:p>
                  <w:pPr>
                    <w:jc w:val="center"/>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2" w:type="dxa"/>
                  <w:gridSpan w:val="3"/>
                  <w:vAlign w:val="center"/>
                </w:tcPr>
                <w:p>
                  <w:pPr>
                    <w:ind w:left="630" w:hanging="630" w:hangingChars="300"/>
                    <w:rPr>
                      <w:color w:val="000000"/>
                      <w:sz w:val="21"/>
                    </w:rPr>
                  </w:pPr>
                  <w:r>
                    <w:rPr>
                      <w:color w:val="000000"/>
                      <w:sz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ind w:left="630" w:hanging="630" w:hangingChars="300"/>
                    <w:rPr>
                      <w:color w:val="000000"/>
                      <w:sz w:val="21"/>
                    </w:rPr>
                  </w:pPr>
                  <w:r>
                    <w:rPr>
                      <w:color w:val="000000"/>
                      <w:sz w:val="21"/>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ind w:left="630" w:hanging="630" w:hangingChars="300"/>
                    <w:rPr>
                      <w:color w:val="000000"/>
                      <w:sz w:val="21"/>
                    </w:rPr>
                  </w:pPr>
                  <w:r>
                    <w:rPr>
                      <w:color w:val="000000"/>
                      <w:sz w:val="21"/>
                    </w:rPr>
                    <w:t>注3：厂区存在堆积物（露天堆放的原料、燃料、废渣等以及垃圾堆放场）、降尘污染的，应将初期雨污水纳入废水排放量，相应的主要污染物纳入水污染当量计算。</w:t>
                  </w:r>
                </w:p>
                <w:p>
                  <w:pPr>
                    <w:ind w:left="630" w:hanging="630" w:hangingChars="300"/>
                    <w:rPr>
                      <w:color w:val="000000"/>
                      <w:sz w:val="21"/>
                    </w:rPr>
                  </w:pPr>
                  <w:r>
                    <w:rPr>
                      <w:color w:val="000000"/>
                      <w:sz w:val="21"/>
                    </w:rPr>
                    <w:t>注4：建设项目直接排放第一类污染物的，其评价等级为一级；建设项目直接排放的污染物为受纳水体超标因子的，评价等级不低于二级。</w:t>
                  </w:r>
                </w:p>
                <w:p>
                  <w:pPr>
                    <w:ind w:left="630" w:hanging="630" w:hangingChars="300"/>
                    <w:rPr>
                      <w:color w:val="000000"/>
                      <w:sz w:val="21"/>
                    </w:rPr>
                  </w:pPr>
                  <w:r>
                    <w:rPr>
                      <w:color w:val="000000"/>
                      <w:sz w:val="21"/>
                    </w:rPr>
                    <w:t>注5：直接排放受纳水体影响范围涉及饮用水水源保护区、饮用水取水口、重点保护与珍稀水生生物的栖息地、重要水生生物的自然产卵场等保护目标时，评价等级不低于二级。</w:t>
                  </w:r>
                </w:p>
                <w:p>
                  <w:pPr>
                    <w:ind w:left="630" w:hanging="630" w:hangingChars="300"/>
                    <w:rPr>
                      <w:color w:val="000000"/>
                      <w:sz w:val="21"/>
                    </w:rPr>
                  </w:pPr>
                  <w:r>
                    <w:rPr>
                      <w:color w:val="000000"/>
                      <w:sz w:val="21"/>
                    </w:rPr>
                    <w:t>注6：建设项目向河流、湖库排放温排水引起受纳水体水温变化超过水环境质量标准要求，且评价范围有水温敏感目标时，评价等级为一级。</w:t>
                  </w:r>
                </w:p>
                <w:p>
                  <w:pPr>
                    <w:ind w:left="630" w:hanging="630" w:hangingChars="300"/>
                    <w:rPr>
                      <w:color w:val="000000"/>
                      <w:sz w:val="21"/>
                    </w:rPr>
                  </w:pPr>
                  <w:r>
                    <w:rPr>
                      <w:color w:val="000000"/>
                      <w:sz w:val="21"/>
                    </w:rPr>
                    <w:t>注7：建设项目利用海水作为调节温度介质，排水量≥500万m</w:t>
                  </w:r>
                  <w:r>
                    <w:rPr>
                      <w:color w:val="000000"/>
                      <w:sz w:val="21"/>
                      <w:vertAlign w:val="superscript"/>
                    </w:rPr>
                    <w:t>3</w:t>
                  </w:r>
                  <w:r>
                    <w:rPr>
                      <w:color w:val="000000"/>
                      <w:sz w:val="21"/>
                    </w:rPr>
                    <w:t>/d，评价等级为一级；排水量＜500万m</w:t>
                  </w:r>
                  <w:r>
                    <w:rPr>
                      <w:color w:val="000000"/>
                      <w:sz w:val="21"/>
                      <w:vertAlign w:val="superscript"/>
                    </w:rPr>
                    <w:t>3</w:t>
                  </w:r>
                  <w:r>
                    <w:rPr>
                      <w:color w:val="000000"/>
                      <w:sz w:val="21"/>
                    </w:rPr>
                    <w:t>/d，评价等级为二级。</w:t>
                  </w:r>
                </w:p>
                <w:p>
                  <w:pPr>
                    <w:ind w:left="630" w:hanging="630" w:hangingChars="300"/>
                    <w:rPr>
                      <w:color w:val="000000"/>
                      <w:sz w:val="21"/>
                    </w:rPr>
                  </w:pPr>
                  <w:r>
                    <w:rPr>
                      <w:color w:val="000000"/>
                      <w:sz w:val="21"/>
                    </w:rPr>
                    <w:t>注8：仅涉及清净下水排放的，如其排放水质满足受纳水体水环境质量标准要求的，评价等级为三级A。</w:t>
                  </w:r>
                </w:p>
                <w:p>
                  <w:pPr>
                    <w:ind w:left="630" w:hanging="630" w:hangingChars="300"/>
                    <w:rPr>
                      <w:color w:val="000000"/>
                      <w:sz w:val="21"/>
                    </w:rPr>
                  </w:pPr>
                  <w:r>
                    <w:rPr>
                      <w:color w:val="000000"/>
                      <w:sz w:val="21"/>
                    </w:rPr>
                    <w:t>注9：依托</w:t>
                  </w:r>
                  <w:r>
                    <w:rPr>
                      <w:rFonts w:hint="eastAsia"/>
                      <w:color w:val="000000"/>
                      <w:sz w:val="21"/>
                    </w:rPr>
                    <w:t>原有</w:t>
                  </w:r>
                  <w:r>
                    <w:rPr>
                      <w:color w:val="000000"/>
                      <w:sz w:val="21"/>
                    </w:rPr>
                    <w:t>排放口，且对外环境未新增排放污染物的直接排放建设项目，评价等级参照间接排放，定为三级B。</w:t>
                  </w:r>
                </w:p>
                <w:p>
                  <w:pPr>
                    <w:ind w:left="630" w:hanging="630" w:hangingChars="300"/>
                    <w:rPr>
                      <w:color w:val="000000"/>
                      <w:sz w:val="21"/>
                    </w:rPr>
                  </w:pPr>
                  <w:r>
                    <w:rPr>
                      <w:color w:val="000000"/>
                      <w:sz w:val="21"/>
                    </w:rPr>
                    <w:t>注10：建设项目生产工艺中有废水产生，但作为回水利用，不排放到外环境的，按三级B评价。</w:t>
                  </w:r>
                </w:p>
              </w:tc>
            </w:tr>
          </w:tbl>
          <w:p>
            <w:pPr>
              <w:adjustRightInd w:val="0"/>
              <w:snapToGrid w:val="0"/>
              <w:spacing w:beforeLines="50" w:line="360" w:lineRule="auto"/>
              <w:ind w:firstLine="482"/>
            </w:pPr>
            <w:r>
              <w:rPr>
                <w:rFonts w:hint="eastAsia"/>
              </w:rPr>
              <w:t xml:space="preserve">本次邓川和右所污水处理厂改造后依托原有工程已建的排水口，牛街污水厂新增排水口，但三座污水厂出水均进入人工湿地，不直接进入地表水体，同时本次改造工程完成后，全厂出水水质能够稳定达到《城镇污水处理厂污染物排放标准》一级 </w:t>
            </w:r>
            <w:r>
              <w:t xml:space="preserve">A </w:t>
            </w:r>
            <w:r>
              <w:rPr>
                <w:rFonts w:hint="eastAsia"/>
              </w:rPr>
              <w:t xml:space="preserve">标准要求，出水水质中污染物含量减少，故本次评价等级为三级 </w:t>
            </w:r>
            <w:r>
              <w:t>B</w:t>
            </w:r>
            <w:r>
              <w:rPr>
                <w:rFonts w:hint="eastAsia"/>
              </w:rPr>
              <w:t>。因此，</w:t>
            </w:r>
            <w:r>
              <w:rPr>
                <w:rFonts w:hint="eastAsia" w:cs="宋体"/>
              </w:rPr>
              <w:t>根据《环境影响评价技术导则 地表水环境》（</w:t>
            </w:r>
            <w:r>
              <w:rPr>
                <w:rFonts w:cs="宋体"/>
              </w:rPr>
              <w:t>HJ2.3-2018</w:t>
            </w:r>
            <w:r>
              <w:rPr>
                <w:rFonts w:hint="eastAsia" w:cs="宋体"/>
              </w:rPr>
              <w:t>）对三级B的要求，</w:t>
            </w:r>
            <w:r>
              <w:rPr>
                <w:rFonts w:hint="eastAsia"/>
              </w:rPr>
              <w:t>本项目主要从水污染控制措施和水环境影响减缓措施的有效性进行分析评价。</w:t>
            </w:r>
          </w:p>
          <w:p>
            <w:pPr>
              <w:spacing w:line="360" w:lineRule="auto"/>
              <w:ind w:firstLine="482"/>
              <w:rPr>
                <w:b/>
                <w:bCs/>
              </w:rPr>
            </w:pPr>
            <w:r>
              <w:rPr>
                <w:rFonts w:hint="eastAsia"/>
                <w:b/>
                <w:bCs/>
              </w:rPr>
              <w:t>（1）水污染控制措施的有效性进行分析</w:t>
            </w:r>
          </w:p>
          <w:p>
            <w:pPr>
              <w:pStyle w:val="75"/>
              <w:spacing w:line="360" w:lineRule="auto"/>
              <w:ind w:firstLine="480" w:firstLineChars="200"/>
              <w:rPr>
                <w:szCs w:val="32"/>
              </w:rPr>
            </w:pPr>
            <w:r>
              <w:rPr>
                <w:szCs w:val="32"/>
              </w:rPr>
              <w:t>本项目</w:t>
            </w:r>
            <w:r>
              <w:rPr>
                <w:rFonts w:hint="eastAsia"/>
                <w:szCs w:val="32"/>
              </w:rPr>
              <w:t>收集的处理的废水主要为村镇居民的生活废水，根据工程分析，</w:t>
            </w:r>
            <w:r>
              <w:rPr>
                <w:szCs w:val="32"/>
              </w:rPr>
              <w:t>其污水原水</w:t>
            </w:r>
            <w:r>
              <w:rPr>
                <w:rFonts w:hint="eastAsia"/>
                <w:szCs w:val="32"/>
              </w:rPr>
              <w:t>中</w:t>
            </w:r>
            <w:r>
              <w:rPr>
                <w:szCs w:val="32"/>
              </w:rPr>
              <w:t>CODcr</w:t>
            </w:r>
            <w:r>
              <w:rPr>
                <w:rFonts w:hint="eastAsia"/>
                <w:szCs w:val="32"/>
              </w:rPr>
              <w:t>的含量相对较高，对此类污水的处理主要以脱氮除磷为主。项目邓川、右所污水厂改造后采用MBR工艺的CWT一体化设备，先经过</w:t>
            </w:r>
            <w:r>
              <w:rPr>
                <w:szCs w:val="32"/>
              </w:rPr>
              <w:t>格栅、沉沙、调节</w:t>
            </w:r>
            <w:r>
              <w:rPr>
                <w:rFonts w:hint="eastAsia"/>
                <w:szCs w:val="32"/>
              </w:rPr>
              <w:t>进行</w:t>
            </w:r>
            <w:r>
              <w:rPr>
                <w:szCs w:val="32"/>
              </w:rPr>
              <w:t>一级</w:t>
            </w:r>
            <w:r>
              <w:rPr>
                <w:rFonts w:hint="eastAsia"/>
                <w:szCs w:val="32"/>
              </w:rPr>
              <w:t>预</w:t>
            </w:r>
            <w:r>
              <w:rPr>
                <w:szCs w:val="32"/>
              </w:rPr>
              <w:t>处理</w:t>
            </w:r>
            <w:r>
              <w:rPr>
                <w:rFonts w:hint="eastAsia"/>
                <w:szCs w:val="32"/>
              </w:rPr>
              <w:t>后，进入CWT一体化设备进行生化（缺氧、好氧）处理和膜处理，进行</w:t>
            </w:r>
            <w:r>
              <w:rPr>
                <w:szCs w:val="32"/>
              </w:rPr>
              <w:t>脱氮除磷的二级处理</w:t>
            </w:r>
            <w:r>
              <w:rPr>
                <w:rFonts w:hint="eastAsia"/>
                <w:szCs w:val="32"/>
              </w:rPr>
              <w:t>，最后进行消毒深度处理后，进入人工湿地。</w:t>
            </w:r>
          </w:p>
          <w:p>
            <w:pPr>
              <w:pStyle w:val="75"/>
              <w:spacing w:line="360" w:lineRule="auto"/>
              <w:ind w:firstLine="480" w:firstLineChars="200"/>
              <w:rPr>
                <w:szCs w:val="32"/>
              </w:rPr>
            </w:pPr>
            <w:r>
              <w:rPr>
                <w:rFonts w:hint="eastAsia"/>
                <w:szCs w:val="32"/>
              </w:rPr>
              <w:t>本次邓川改、右所污水厂造将传统的AO工艺替代为先进的一体化CWT设备，同时增加了MBR膜工段；牛街新建污水厂采用</w:t>
            </w:r>
            <w:r>
              <w:rPr>
                <w:szCs w:val="28"/>
              </w:rPr>
              <w:t>“A</w:t>
            </w:r>
            <w:r>
              <w:rPr>
                <w:rFonts w:hint="eastAsia"/>
                <w:szCs w:val="28"/>
                <w:vertAlign w:val="superscript"/>
              </w:rPr>
              <w:t>2</w:t>
            </w:r>
            <w:r>
              <w:rPr>
                <w:szCs w:val="28"/>
              </w:rPr>
              <w:t>O+MBR”</w:t>
            </w:r>
            <w:r>
              <w:rPr>
                <w:rFonts w:hint="eastAsia"/>
                <w:szCs w:val="28"/>
              </w:rPr>
              <w:t>工艺，</w:t>
            </w:r>
            <w:r>
              <w:rPr>
                <w:rFonts w:hint="eastAsia"/>
                <w:szCs w:val="32"/>
              </w:rPr>
              <w:t>增强脱氮除磷效果的同时，能够确保出水稳定达标。此工艺的有效性主要体现在以下几个方面：</w:t>
            </w:r>
          </w:p>
          <w:p>
            <w:pPr>
              <w:pStyle w:val="75"/>
              <w:spacing w:line="360" w:lineRule="auto"/>
              <w:ind w:firstLine="480" w:firstLineChars="200"/>
              <w:rPr>
                <w:szCs w:val="32"/>
              </w:rPr>
            </w:pPr>
            <w:r>
              <w:rPr>
                <w:rFonts w:hint="eastAsia"/>
                <w:szCs w:val="32"/>
              </w:rPr>
              <w:t>①有机物降解方面：</w:t>
            </w:r>
          </w:p>
          <w:p>
            <w:pPr>
              <w:pStyle w:val="75"/>
              <w:spacing w:line="360" w:lineRule="auto"/>
              <w:ind w:firstLine="480" w:firstLineChars="200"/>
              <w:rPr>
                <w:szCs w:val="32"/>
              </w:rPr>
            </w:pPr>
            <w:r>
              <w:rPr>
                <w:rFonts w:hint="eastAsia"/>
                <w:szCs w:val="32"/>
              </w:rPr>
              <w:t>MBR膜生物反应器中膜的具有高效的截留作用，能使微生物全部截留于生物反应池中维持了较高的活性污泥浓度和微生物量，与传统生物法相比，MBR 对有机物去除效率高（一般大于96%），而且可以在较短的水力停留时间内达到更好的去除效果，有利于某些专性菌（特别是优势菌群）的出现，提高了生化反应速率和系统对有机物的降解作用，有利于难生物降解有机物的去除。</w:t>
            </w:r>
          </w:p>
          <w:p>
            <w:pPr>
              <w:pStyle w:val="75"/>
              <w:spacing w:line="360" w:lineRule="auto"/>
              <w:ind w:firstLine="480" w:firstLineChars="200"/>
              <w:rPr>
                <w:szCs w:val="32"/>
              </w:rPr>
            </w:pPr>
            <w:r>
              <w:rPr>
                <w:rFonts w:hint="eastAsia"/>
                <w:szCs w:val="32"/>
              </w:rPr>
              <w:t>②脱氮方面：</w:t>
            </w:r>
          </w:p>
          <w:p>
            <w:pPr>
              <w:pStyle w:val="75"/>
              <w:spacing w:line="360" w:lineRule="auto"/>
              <w:ind w:firstLine="480" w:firstLineChars="200"/>
              <w:rPr>
                <w:szCs w:val="32"/>
              </w:rPr>
            </w:pPr>
            <w:r>
              <w:rPr>
                <w:rFonts w:hint="eastAsia"/>
                <w:szCs w:val="32"/>
              </w:rPr>
              <w:t>对于MBR工艺脱氮而言，由于膜的高效截留作用，使微生物完全截留在反应器内，有利于增殖缓慢的亚硝酸菌和硝酸菌的截留、生长和繁殖，反应器中硝化菌总量较多，使硝化过程更彻底；同时，相应的反硝化菌数量就较多，利用有机碳源的能力也较强，可以将进水中部分非快速降解的有机物利用作为反硝化碳源，这对于可生化性较差的污水进行生物脱氮具有很好的效果。</w:t>
            </w:r>
          </w:p>
          <w:p>
            <w:pPr>
              <w:pStyle w:val="75"/>
              <w:spacing w:line="360" w:lineRule="auto"/>
              <w:ind w:firstLine="480" w:firstLineChars="200"/>
              <w:rPr>
                <w:rFonts w:ascii="宋体" w:hAnsi="宋体" w:cs="宋体"/>
              </w:rPr>
            </w:pPr>
            <w:r>
              <w:rPr>
                <w:rFonts w:hint="eastAsia" w:ascii="宋体" w:hAnsi="宋体" w:cs="宋体"/>
              </w:rPr>
              <w:t>③除磷方面：</w:t>
            </w:r>
          </w:p>
          <w:p>
            <w:pPr>
              <w:pStyle w:val="75"/>
              <w:spacing w:line="360" w:lineRule="auto"/>
              <w:ind w:firstLine="480" w:firstLineChars="200"/>
              <w:rPr>
                <w:szCs w:val="32"/>
              </w:rPr>
            </w:pPr>
            <w:r>
              <w:t>由于膜对SS近100％的截留，膜系统的出水几乎不含 SS，这就把颗粒中的磷很好地截留在系统内</w:t>
            </w:r>
            <w:r>
              <w:rPr>
                <w:rFonts w:hint="eastAsia"/>
              </w:rPr>
              <w:t>，</w:t>
            </w:r>
            <w:r>
              <w:t>聚磷菌将更容易得到富集，将磷以聚磷酸盐的形式贮藏在菌体内而形成高磷污泥</w:t>
            </w:r>
            <w:r>
              <w:rPr>
                <w:rFonts w:hint="eastAsia"/>
              </w:rPr>
              <w:t>，</w:t>
            </w:r>
            <w:r>
              <w:t>也能取得相当好的除磷效果。</w:t>
            </w:r>
          </w:p>
          <w:p>
            <w:pPr>
              <w:pStyle w:val="75"/>
              <w:spacing w:line="360" w:lineRule="auto"/>
              <w:ind w:firstLine="480" w:firstLineChars="200"/>
              <w:rPr>
                <w:b/>
                <w:szCs w:val="24"/>
              </w:rPr>
            </w:pPr>
            <w:r>
              <w:rPr>
                <w:rFonts w:hint="eastAsia"/>
                <w:szCs w:val="32"/>
              </w:rPr>
              <w:t>总之，与常规工艺相比，MBR工艺具有很强的耐冲击负荷能力，低温、低溶解氧和进水负荷的变化等不利条件对MBR系统运行的稳定性和出水水质影响较小。可以说 MBR工艺是一种运行可靠、稳定的污水处理工艺。能够使出水稳定</w:t>
            </w:r>
            <w:r>
              <w:rPr>
                <w:rFonts w:hint="eastAsia"/>
              </w:rPr>
              <w:t>达到《城镇污水处理厂污染物排放标准》（GB18918-2002）一级 A 标准要求。</w:t>
            </w:r>
          </w:p>
          <w:p>
            <w:pPr>
              <w:pStyle w:val="2"/>
              <w:spacing w:line="360" w:lineRule="auto"/>
              <w:ind w:firstLine="559" w:firstLineChars="232"/>
              <w:jc w:val="both"/>
              <w:rPr>
                <w:rFonts w:cs="宋体"/>
                <w:b/>
                <w:bCs/>
              </w:rPr>
            </w:pPr>
            <w:r>
              <w:rPr>
                <w:rFonts w:hint="eastAsia"/>
                <w:b/>
                <w:bCs/>
              </w:rPr>
              <w:t>（2）水环境影响减缓措施的有效性进行分析</w:t>
            </w:r>
          </w:p>
          <w:p>
            <w:pPr>
              <w:spacing w:line="360" w:lineRule="auto"/>
              <w:ind w:firstLine="482"/>
            </w:pPr>
            <w:r>
              <w:rPr>
                <w:rFonts w:hint="eastAsia"/>
              </w:rPr>
              <w:t>本项目三座污水处理厂出水达标后，进入人工湿地</w:t>
            </w:r>
            <w:r>
              <w:t>。</w:t>
            </w:r>
            <w:r>
              <w:rPr>
                <w:rFonts w:hint="eastAsia"/>
              </w:rPr>
              <w:t>三座污水处理厂污染物削减情况分析见下表：</w:t>
            </w:r>
          </w:p>
          <w:p>
            <w:pPr>
              <w:spacing w:line="360" w:lineRule="auto"/>
              <w:jc w:val="center"/>
              <w:rPr>
                <w:b/>
                <w:bCs/>
                <w:sz w:val="21"/>
                <w:szCs w:val="16"/>
              </w:rPr>
            </w:pPr>
            <w:r>
              <w:rPr>
                <w:b/>
                <w:bCs/>
                <w:sz w:val="21"/>
                <w:szCs w:val="16"/>
              </w:rPr>
              <w:t>表7-1</w:t>
            </w:r>
            <w:r>
              <w:rPr>
                <w:rFonts w:hint="eastAsia"/>
                <w:b/>
                <w:bCs/>
                <w:sz w:val="21"/>
                <w:szCs w:val="16"/>
              </w:rPr>
              <w:t>4</w:t>
            </w:r>
            <w:r>
              <w:rPr>
                <w:b/>
                <w:bCs/>
                <w:sz w:val="21"/>
                <w:szCs w:val="16"/>
              </w:rPr>
              <w:t xml:space="preserve"> 邓川污水厂主要污染物削减情况分析一览表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519"/>
              <w:gridCol w:w="1256"/>
              <w:gridCol w:w="1386"/>
              <w:gridCol w:w="1478"/>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589"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56" w:type="dxa"/>
                  <w:vAlign w:val="center"/>
                </w:tcPr>
                <w:p>
                  <w:pPr>
                    <w:jc w:val="center"/>
                    <w:rPr>
                      <w:b/>
                      <w:bCs/>
                      <w:sz w:val="21"/>
                      <w:szCs w:val="21"/>
                    </w:rPr>
                  </w:pPr>
                  <w:r>
                    <w:rPr>
                      <w:b/>
                      <w:bCs/>
                      <w:sz w:val="21"/>
                      <w:szCs w:val="21"/>
                    </w:rPr>
                    <w:t>COD</w:t>
                  </w:r>
                </w:p>
              </w:tc>
              <w:tc>
                <w:tcPr>
                  <w:tcW w:w="1386" w:type="dxa"/>
                  <w:vAlign w:val="center"/>
                </w:tcPr>
                <w:p>
                  <w:pPr>
                    <w:jc w:val="center"/>
                    <w:rPr>
                      <w:b/>
                      <w:bCs/>
                      <w:sz w:val="21"/>
                      <w:szCs w:val="21"/>
                    </w:rPr>
                  </w:pPr>
                  <w:r>
                    <w:rPr>
                      <w:b/>
                      <w:bCs/>
                      <w:sz w:val="21"/>
                      <w:szCs w:val="21"/>
                    </w:rPr>
                    <w:t>TN</w:t>
                  </w:r>
                </w:p>
              </w:tc>
              <w:tc>
                <w:tcPr>
                  <w:tcW w:w="1478"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20"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0" w:type="dxa"/>
                  <w:vMerge w:val="restart"/>
                  <w:vAlign w:val="center"/>
                </w:tcPr>
                <w:p>
                  <w:pPr>
                    <w:jc w:val="center"/>
                    <w:rPr>
                      <w:sz w:val="21"/>
                      <w:szCs w:val="21"/>
                    </w:rPr>
                  </w:pPr>
                  <w:r>
                    <w:rPr>
                      <w:sz w:val="21"/>
                      <w:szCs w:val="21"/>
                    </w:rPr>
                    <w:t>进水</w:t>
                  </w:r>
                </w:p>
              </w:tc>
              <w:tc>
                <w:tcPr>
                  <w:tcW w:w="1519"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280</w:t>
                  </w:r>
                </w:p>
              </w:tc>
              <w:tc>
                <w:tcPr>
                  <w:tcW w:w="1386" w:type="dxa"/>
                  <w:vAlign w:val="center"/>
                </w:tcPr>
                <w:p>
                  <w:pPr>
                    <w:widowControl/>
                    <w:jc w:val="center"/>
                    <w:textAlignment w:val="center"/>
                    <w:rPr>
                      <w:sz w:val="21"/>
                      <w:szCs w:val="21"/>
                    </w:rPr>
                  </w:pPr>
                  <w:r>
                    <w:rPr>
                      <w:color w:val="000000"/>
                      <w:kern w:val="0"/>
                      <w:sz w:val="21"/>
                      <w:szCs w:val="21"/>
                    </w:rPr>
                    <w:t>35</w:t>
                  </w:r>
                </w:p>
              </w:tc>
              <w:tc>
                <w:tcPr>
                  <w:tcW w:w="1478" w:type="dxa"/>
                  <w:vAlign w:val="center"/>
                </w:tcPr>
                <w:p>
                  <w:pPr>
                    <w:widowControl/>
                    <w:jc w:val="center"/>
                    <w:textAlignment w:val="center"/>
                    <w:rPr>
                      <w:sz w:val="21"/>
                      <w:szCs w:val="21"/>
                    </w:rPr>
                  </w:pPr>
                  <w:r>
                    <w:rPr>
                      <w:color w:val="000000"/>
                      <w:kern w:val="0"/>
                      <w:sz w:val="21"/>
                      <w:szCs w:val="21"/>
                    </w:rPr>
                    <w:t>15</w:t>
                  </w:r>
                </w:p>
              </w:tc>
              <w:tc>
                <w:tcPr>
                  <w:tcW w:w="1320"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continue"/>
                  <w:vAlign w:val="center"/>
                </w:tcPr>
                <w:p>
                  <w:pPr>
                    <w:jc w:val="center"/>
                    <w:rPr>
                      <w:sz w:val="21"/>
                      <w:szCs w:val="21"/>
                    </w:rPr>
                  </w:pPr>
                </w:p>
              </w:tc>
              <w:tc>
                <w:tcPr>
                  <w:tcW w:w="151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204.4</w:t>
                  </w:r>
                </w:p>
              </w:tc>
              <w:tc>
                <w:tcPr>
                  <w:tcW w:w="1386" w:type="dxa"/>
                  <w:vAlign w:val="center"/>
                </w:tcPr>
                <w:p>
                  <w:pPr>
                    <w:widowControl/>
                    <w:jc w:val="center"/>
                    <w:textAlignment w:val="center"/>
                    <w:rPr>
                      <w:sz w:val="21"/>
                      <w:szCs w:val="21"/>
                    </w:rPr>
                  </w:pPr>
                  <w:r>
                    <w:rPr>
                      <w:color w:val="000000"/>
                      <w:kern w:val="0"/>
                      <w:sz w:val="21"/>
                      <w:szCs w:val="21"/>
                    </w:rPr>
                    <w:t>25.55</w:t>
                  </w:r>
                </w:p>
              </w:tc>
              <w:tc>
                <w:tcPr>
                  <w:tcW w:w="1478" w:type="dxa"/>
                  <w:vAlign w:val="center"/>
                </w:tcPr>
                <w:p>
                  <w:pPr>
                    <w:widowControl/>
                    <w:jc w:val="center"/>
                    <w:textAlignment w:val="center"/>
                    <w:rPr>
                      <w:sz w:val="21"/>
                      <w:szCs w:val="21"/>
                    </w:rPr>
                  </w:pPr>
                  <w:r>
                    <w:rPr>
                      <w:color w:val="000000"/>
                      <w:kern w:val="0"/>
                      <w:sz w:val="21"/>
                      <w:szCs w:val="21"/>
                    </w:rPr>
                    <w:t>10.95</w:t>
                  </w:r>
                </w:p>
              </w:tc>
              <w:tc>
                <w:tcPr>
                  <w:tcW w:w="1320" w:type="dxa"/>
                  <w:vAlign w:val="center"/>
                </w:tcPr>
                <w:p>
                  <w:pPr>
                    <w:widowControl/>
                    <w:jc w:val="center"/>
                    <w:textAlignment w:val="center"/>
                    <w:rPr>
                      <w:sz w:val="21"/>
                      <w:szCs w:val="21"/>
                    </w:rPr>
                  </w:pPr>
                  <w:r>
                    <w:rPr>
                      <w:color w:val="000000"/>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restart"/>
                  <w:vAlign w:val="center"/>
                </w:tcPr>
                <w:p>
                  <w:pPr>
                    <w:jc w:val="center"/>
                    <w:rPr>
                      <w:sz w:val="21"/>
                      <w:szCs w:val="21"/>
                    </w:rPr>
                  </w:pPr>
                  <w:r>
                    <w:rPr>
                      <w:sz w:val="21"/>
                      <w:szCs w:val="21"/>
                    </w:rPr>
                    <w:t>出水</w:t>
                  </w:r>
                </w:p>
              </w:tc>
              <w:tc>
                <w:tcPr>
                  <w:tcW w:w="1519"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30</w:t>
                  </w:r>
                </w:p>
              </w:tc>
              <w:tc>
                <w:tcPr>
                  <w:tcW w:w="1386" w:type="dxa"/>
                  <w:vAlign w:val="center"/>
                </w:tcPr>
                <w:p>
                  <w:pPr>
                    <w:widowControl/>
                    <w:jc w:val="center"/>
                    <w:textAlignment w:val="center"/>
                    <w:rPr>
                      <w:sz w:val="21"/>
                      <w:szCs w:val="21"/>
                    </w:rPr>
                  </w:pPr>
                  <w:r>
                    <w:rPr>
                      <w:color w:val="000000"/>
                      <w:kern w:val="0"/>
                      <w:sz w:val="21"/>
                      <w:szCs w:val="21"/>
                    </w:rPr>
                    <w:t>15</w:t>
                  </w:r>
                </w:p>
              </w:tc>
              <w:tc>
                <w:tcPr>
                  <w:tcW w:w="1478" w:type="dxa"/>
                  <w:vAlign w:val="center"/>
                </w:tcPr>
                <w:p>
                  <w:pPr>
                    <w:widowControl/>
                    <w:jc w:val="center"/>
                    <w:textAlignment w:val="center"/>
                    <w:rPr>
                      <w:sz w:val="21"/>
                      <w:szCs w:val="21"/>
                    </w:rPr>
                  </w:pPr>
                  <w:r>
                    <w:rPr>
                      <w:color w:val="000000"/>
                      <w:kern w:val="0"/>
                      <w:sz w:val="21"/>
                      <w:szCs w:val="21"/>
                    </w:rPr>
                    <w:t>1.5</w:t>
                  </w:r>
                </w:p>
              </w:tc>
              <w:tc>
                <w:tcPr>
                  <w:tcW w:w="1320"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continue"/>
                  <w:vAlign w:val="center"/>
                </w:tcPr>
                <w:p>
                  <w:pPr>
                    <w:jc w:val="center"/>
                    <w:rPr>
                      <w:sz w:val="21"/>
                      <w:szCs w:val="21"/>
                    </w:rPr>
                  </w:pPr>
                </w:p>
              </w:tc>
              <w:tc>
                <w:tcPr>
                  <w:tcW w:w="151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21.9</w:t>
                  </w:r>
                </w:p>
              </w:tc>
              <w:tc>
                <w:tcPr>
                  <w:tcW w:w="1386" w:type="dxa"/>
                  <w:vAlign w:val="center"/>
                </w:tcPr>
                <w:p>
                  <w:pPr>
                    <w:widowControl/>
                    <w:jc w:val="center"/>
                    <w:textAlignment w:val="center"/>
                    <w:rPr>
                      <w:sz w:val="21"/>
                      <w:szCs w:val="21"/>
                    </w:rPr>
                  </w:pPr>
                  <w:r>
                    <w:rPr>
                      <w:color w:val="000000"/>
                      <w:kern w:val="0"/>
                      <w:sz w:val="21"/>
                      <w:szCs w:val="21"/>
                    </w:rPr>
                    <w:t>10.95</w:t>
                  </w:r>
                </w:p>
              </w:tc>
              <w:tc>
                <w:tcPr>
                  <w:tcW w:w="1478" w:type="dxa"/>
                  <w:vAlign w:val="center"/>
                </w:tcPr>
                <w:p>
                  <w:pPr>
                    <w:widowControl/>
                    <w:jc w:val="center"/>
                    <w:textAlignment w:val="center"/>
                    <w:rPr>
                      <w:sz w:val="21"/>
                      <w:szCs w:val="21"/>
                    </w:rPr>
                  </w:pPr>
                  <w:r>
                    <w:rPr>
                      <w:color w:val="000000"/>
                      <w:kern w:val="0"/>
                      <w:sz w:val="21"/>
                      <w:szCs w:val="21"/>
                    </w:rPr>
                    <w:t>1.095</w:t>
                  </w:r>
                </w:p>
              </w:tc>
              <w:tc>
                <w:tcPr>
                  <w:tcW w:w="1320" w:type="dxa"/>
                  <w:vAlign w:val="center"/>
                </w:tcPr>
                <w:p>
                  <w:pPr>
                    <w:widowControl/>
                    <w:jc w:val="center"/>
                    <w:textAlignment w:val="center"/>
                    <w:rPr>
                      <w:sz w:val="21"/>
                      <w:szCs w:val="21"/>
                    </w:rPr>
                  </w:pPr>
                  <w:r>
                    <w:rPr>
                      <w:color w:val="000000"/>
                      <w:kern w:val="0"/>
                      <w:sz w:val="21"/>
                      <w:szCs w:val="21"/>
                    </w:rPr>
                    <w:t>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restart"/>
                  <w:vAlign w:val="center"/>
                </w:tcPr>
                <w:p>
                  <w:pPr>
                    <w:jc w:val="center"/>
                    <w:rPr>
                      <w:sz w:val="21"/>
                      <w:szCs w:val="21"/>
                    </w:rPr>
                  </w:pPr>
                  <w:r>
                    <w:rPr>
                      <w:sz w:val="21"/>
                      <w:szCs w:val="21"/>
                    </w:rPr>
                    <w:t>削减</w:t>
                  </w:r>
                </w:p>
              </w:tc>
              <w:tc>
                <w:tcPr>
                  <w:tcW w:w="1519" w:type="dxa"/>
                  <w:vAlign w:val="center"/>
                </w:tcPr>
                <w:p>
                  <w:pPr>
                    <w:jc w:val="center"/>
                    <w:rPr>
                      <w:sz w:val="21"/>
                      <w:szCs w:val="21"/>
                    </w:rPr>
                  </w:pPr>
                  <w:r>
                    <w:rPr>
                      <w:sz w:val="21"/>
                      <w:szCs w:val="21"/>
                    </w:rPr>
                    <w:t>去除量(t/a)</w:t>
                  </w:r>
                </w:p>
              </w:tc>
              <w:tc>
                <w:tcPr>
                  <w:tcW w:w="1256" w:type="dxa"/>
                  <w:vAlign w:val="center"/>
                </w:tcPr>
                <w:p>
                  <w:pPr>
                    <w:widowControl/>
                    <w:jc w:val="center"/>
                    <w:textAlignment w:val="center"/>
                    <w:rPr>
                      <w:sz w:val="21"/>
                      <w:szCs w:val="21"/>
                    </w:rPr>
                  </w:pPr>
                  <w:r>
                    <w:rPr>
                      <w:color w:val="000000"/>
                      <w:kern w:val="0"/>
                      <w:sz w:val="21"/>
                      <w:szCs w:val="21"/>
                    </w:rPr>
                    <w:t>182.5</w:t>
                  </w:r>
                </w:p>
              </w:tc>
              <w:tc>
                <w:tcPr>
                  <w:tcW w:w="1386" w:type="dxa"/>
                  <w:vAlign w:val="center"/>
                </w:tcPr>
                <w:p>
                  <w:pPr>
                    <w:widowControl/>
                    <w:jc w:val="center"/>
                    <w:textAlignment w:val="center"/>
                    <w:rPr>
                      <w:sz w:val="21"/>
                      <w:szCs w:val="21"/>
                    </w:rPr>
                  </w:pPr>
                  <w:r>
                    <w:rPr>
                      <w:color w:val="000000"/>
                      <w:kern w:val="0"/>
                      <w:sz w:val="21"/>
                      <w:szCs w:val="21"/>
                    </w:rPr>
                    <w:t>14.6</w:t>
                  </w:r>
                </w:p>
              </w:tc>
              <w:tc>
                <w:tcPr>
                  <w:tcW w:w="1478" w:type="dxa"/>
                  <w:vAlign w:val="center"/>
                </w:tcPr>
                <w:p>
                  <w:pPr>
                    <w:widowControl/>
                    <w:jc w:val="center"/>
                    <w:textAlignment w:val="center"/>
                    <w:rPr>
                      <w:sz w:val="21"/>
                      <w:szCs w:val="21"/>
                    </w:rPr>
                  </w:pPr>
                  <w:r>
                    <w:rPr>
                      <w:color w:val="000000"/>
                      <w:kern w:val="0"/>
                      <w:sz w:val="21"/>
                      <w:szCs w:val="21"/>
                    </w:rPr>
                    <w:t>9.855</w:t>
                  </w:r>
                </w:p>
              </w:tc>
              <w:tc>
                <w:tcPr>
                  <w:tcW w:w="1320" w:type="dxa"/>
                  <w:vAlign w:val="center"/>
                </w:tcPr>
                <w:p>
                  <w:pPr>
                    <w:widowControl/>
                    <w:jc w:val="center"/>
                    <w:textAlignment w:val="center"/>
                    <w:rPr>
                      <w:sz w:val="21"/>
                      <w:szCs w:val="21"/>
                    </w:rPr>
                  </w:pPr>
                  <w:r>
                    <w:rPr>
                      <w:color w:val="000000"/>
                      <w:kern w:val="0"/>
                      <w:sz w:val="21"/>
                      <w:szCs w:val="2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continue"/>
                  <w:vAlign w:val="center"/>
                </w:tcPr>
                <w:p>
                  <w:pPr>
                    <w:jc w:val="center"/>
                    <w:rPr>
                      <w:sz w:val="21"/>
                      <w:szCs w:val="21"/>
                    </w:rPr>
                  </w:pPr>
                </w:p>
              </w:tc>
              <w:tc>
                <w:tcPr>
                  <w:tcW w:w="1519" w:type="dxa"/>
                  <w:vAlign w:val="center"/>
                </w:tcPr>
                <w:p>
                  <w:pPr>
                    <w:jc w:val="center"/>
                    <w:rPr>
                      <w:sz w:val="21"/>
                      <w:szCs w:val="21"/>
                    </w:rPr>
                  </w:pPr>
                  <w:r>
                    <w:rPr>
                      <w:sz w:val="21"/>
                      <w:szCs w:val="21"/>
                    </w:rPr>
                    <w:t>去除率（%）</w:t>
                  </w:r>
                </w:p>
              </w:tc>
              <w:tc>
                <w:tcPr>
                  <w:tcW w:w="1256" w:type="dxa"/>
                  <w:vAlign w:val="center"/>
                </w:tcPr>
                <w:p>
                  <w:pPr>
                    <w:widowControl/>
                    <w:jc w:val="center"/>
                    <w:textAlignment w:val="center"/>
                    <w:rPr>
                      <w:sz w:val="21"/>
                      <w:szCs w:val="21"/>
                    </w:rPr>
                  </w:pPr>
                  <w:r>
                    <w:rPr>
                      <w:color w:val="000000"/>
                      <w:kern w:val="0"/>
                      <w:sz w:val="21"/>
                      <w:szCs w:val="21"/>
                    </w:rPr>
                    <w:t xml:space="preserve">89.29 </w:t>
                  </w:r>
                </w:p>
              </w:tc>
              <w:tc>
                <w:tcPr>
                  <w:tcW w:w="1386" w:type="dxa"/>
                  <w:vAlign w:val="center"/>
                </w:tcPr>
                <w:p>
                  <w:pPr>
                    <w:widowControl/>
                    <w:jc w:val="center"/>
                    <w:textAlignment w:val="center"/>
                    <w:rPr>
                      <w:sz w:val="21"/>
                      <w:szCs w:val="21"/>
                    </w:rPr>
                  </w:pPr>
                  <w:r>
                    <w:rPr>
                      <w:color w:val="000000"/>
                      <w:kern w:val="0"/>
                      <w:sz w:val="21"/>
                      <w:szCs w:val="21"/>
                    </w:rPr>
                    <w:t xml:space="preserve">57.14 </w:t>
                  </w:r>
                </w:p>
              </w:tc>
              <w:tc>
                <w:tcPr>
                  <w:tcW w:w="1478" w:type="dxa"/>
                  <w:vAlign w:val="center"/>
                </w:tcPr>
                <w:p>
                  <w:pPr>
                    <w:widowControl/>
                    <w:jc w:val="center"/>
                    <w:textAlignment w:val="center"/>
                    <w:rPr>
                      <w:sz w:val="21"/>
                      <w:szCs w:val="21"/>
                    </w:rPr>
                  </w:pPr>
                  <w:r>
                    <w:rPr>
                      <w:color w:val="000000"/>
                      <w:kern w:val="0"/>
                      <w:sz w:val="21"/>
                      <w:szCs w:val="21"/>
                    </w:rPr>
                    <w:t>90</w:t>
                  </w:r>
                </w:p>
              </w:tc>
              <w:tc>
                <w:tcPr>
                  <w:tcW w:w="1320" w:type="dxa"/>
                  <w:vAlign w:val="center"/>
                </w:tcPr>
                <w:p>
                  <w:pPr>
                    <w:widowControl/>
                    <w:jc w:val="center"/>
                    <w:textAlignment w:val="center"/>
                    <w:rPr>
                      <w:sz w:val="21"/>
                      <w:szCs w:val="21"/>
                    </w:rPr>
                  </w:pPr>
                  <w:r>
                    <w:rPr>
                      <w:color w:val="000000"/>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89" w:type="dxa"/>
                  <w:gridSpan w:val="2"/>
                  <w:vAlign w:val="center"/>
                </w:tcPr>
                <w:p>
                  <w:pPr>
                    <w:widowControl/>
                    <w:jc w:val="center"/>
                    <w:textAlignment w:val="center"/>
                    <w:rPr>
                      <w:sz w:val="21"/>
                      <w:szCs w:val="21"/>
                    </w:rPr>
                  </w:pPr>
                  <w:r>
                    <w:rPr>
                      <w:rFonts w:hint="eastAsia"/>
                      <w:sz w:val="21"/>
                      <w:szCs w:val="21"/>
                    </w:rPr>
                    <w:t>达标情况</w:t>
                  </w:r>
                </w:p>
              </w:tc>
              <w:tc>
                <w:tcPr>
                  <w:tcW w:w="125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8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478"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20" w:type="dxa"/>
                  <w:vAlign w:val="center"/>
                </w:tcPr>
                <w:p>
                  <w:pPr>
                    <w:jc w:val="center"/>
                    <w:rPr>
                      <w:color w:val="000000"/>
                      <w:kern w:val="0"/>
                      <w:sz w:val="21"/>
                      <w:szCs w:val="21"/>
                    </w:rPr>
                  </w:pPr>
                  <w:r>
                    <w:rPr>
                      <w:rFonts w:hint="eastAsia"/>
                      <w:sz w:val="21"/>
                      <w:szCs w:val="21"/>
                    </w:rPr>
                    <w:t>达标情况</w:t>
                  </w:r>
                </w:p>
              </w:tc>
            </w:tr>
          </w:tbl>
          <w:p>
            <w:pPr>
              <w:spacing w:line="360" w:lineRule="auto"/>
              <w:jc w:val="center"/>
              <w:rPr>
                <w:b/>
                <w:sz w:val="21"/>
                <w:szCs w:val="13"/>
              </w:rPr>
            </w:pPr>
            <w:r>
              <w:rPr>
                <w:b/>
                <w:bCs/>
                <w:sz w:val="21"/>
                <w:szCs w:val="16"/>
              </w:rPr>
              <w:t>表7-1</w:t>
            </w:r>
            <w:r>
              <w:rPr>
                <w:rFonts w:hint="eastAsia"/>
                <w:b/>
                <w:bCs/>
                <w:sz w:val="21"/>
                <w:szCs w:val="16"/>
              </w:rPr>
              <w:t>5</w:t>
            </w:r>
            <w:r>
              <w:rPr>
                <w:b/>
                <w:bCs/>
                <w:sz w:val="21"/>
                <w:szCs w:val="16"/>
              </w:rPr>
              <w:t xml:space="preserve"> </w:t>
            </w:r>
            <w:r>
              <w:rPr>
                <w:rFonts w:hint="eastAsia"/>
                <w:b/>
                <w:bCs/>
                <w:sz w:val="21"/>
                <w:szCs w:val="16"/>
              </w:rPr>
              <w:t>右所</w:t>
            </w:r>
            <w:r>
              <w:rPr>
                <w:b/>
                <w:bCs/>
                <w:sz w:val="21"/>
                <w:szCs w:val="16"/>
              </w:rPr>
              <w:t>污水厂主要污染物削减情况分析一览表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38"/>
              <w:gridCol w:w="1256"/>
              <w:gridCol w:w="1386"/>
              <w:gridCol w:w="1478"/>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590"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56" w:type="dxa"/>
                  <w:vAlign w:val="center"/>
                </w:tcPr>
                <w:p>
                  <w:pPr>
                    <w:jc w:val="center"/>
                    <w:rPr>
                      <w:b/>
                      <w:bCs/>
                      <w:sz w:val="21"/>
                      <w:szCs w:val="21"/>
                    </w:rPr>
                  </w:pPr>
                  <w:r>
                    <w:rPr>
                      <w:b/>
                      <w:bCs/>
                      <w:sz w:val="21"/>
                      <w:szCs w:val="21"/>
                    </w:rPr>
                    <w:t>COD</w:t>
                  </w:r>
                </w:p>
              </w:tc>
              <w:tc>
                <w:tcPr>
                  <w:tcW w:w="1386" w:type="dxa"/>
                  <w:vAlign w:val="center"/>
                </w:tcPr>
                <w:p>
                  <w:pPr>
                    <w:jc w:val="center"/>
                    <w:rPr>
                      <w:b/>
                      <w:bCs/>
                      <w:sz w:val="21"/>
                      <w:szCs w:val="21"/>
                    </w:rPr>
                  </w:pPr>
                  <w:r>
                    <w:rPr>
                      <w:b/>
                      <w:bCs/>
                      <w:sz w:val="21"/>
                      <w:szCs w:val="21"/>
                    </w:rPr>
                    <w:t>TN</w:t>
                  </w:r>
                </w:p>
              </w:tc>
              <w:tc>
                <w:tcPr>
                  <w:tcW w:w="1478"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19"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进水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280</w:t>
                  </w:r>
                </w:p>
              </w:tc>
              <w:tc>
                <w:tcPr>
                  <w:tcW w:w="1386" w:type="dxa"/>
                  <w:vAlign w:val="center"/>
                </w:tcPr>
                <w:p>
                  <w:pPr>
                    <w:widowControl/>
                    <w:jc w:val="center"/>
                    <w:textAlignment w:val="center"/>
                    <w:rPr>
                      <w:sz w:val="21"/>
                      <w:szCs w:val="21"/>
                    </w:rPr>
                  </w:pPr>
                  <w:r>
                    <w:rPr>
                      <w:color w:val="000000"/>
                      <w:kern w:val="0"/>
                      <w:sz w:val="21"/>
                      <w:szCs w:val="21"/>
                    </w:rPr>
                    <w:t>35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102.2</w:t>
                  </w:r>
                </w:p>
              </w:tc>
              <w:tc>
                <w:tcPr>
                  <w:tcW w:w="1386" w:type="dxa"/>
                  <w:vAlign w:val="center"/>
                </w:tcPr>
                <w:p>
                  <w:pPr>
                    <w:widowControl/>
                    <w:jc w:val="center"/>
                    <w:textAlignment w:val="center"/>
                    <w:rPr>
                      <w:sz w:val="21"/>
                      <w:szCs w:val="21"/>
                    </w:rPr>
                  </w:pPr>
                  <w:r>
                    <w:rPr>
                      <w:color w:val="000000"/>
                      <w:kern w:val="0"/>
                      <w:sz w:val="21"/>
                      <w:szCs w:val="21"/>
                    </w:rPr>
                    <w:t>12.775</w:t>
                  </w:r>
                </w:p>
              </w:tc>
              <w:tc>
                <w:tcPr>
                  <w:tcW w:w="1478" w:type="dxa"/>
                  <w:vAlign w:val="center"/>
                </w:tcPr>
                <w:p>
                  <w:pPr>
                    <w:widowControl/>
                    <w:jc w:val="center"/>
                    <w:textAlignment w:val="center"/>
                    <w:rPr>
                      <w:sz w:val="21"/>
                      <w:szCs w:val="21"/>
                    </w:rPr>
                  </w:pPr>
                  <w:r>
                    <w:rPr>
                      <w:color w:val="000000"/>
                      <w:kern w:val="0"/>
                      <w:sz w:val="21"/>
                      <w:szCs w:val="21"/>
                    </w:rPr>
                    <w:t>5.475</w:t>
                  </w:r>
                </w:p>
              </w:tc>
              <w:tc>
                <w:tcPr>
                  <w:tcW w:w="1319"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出水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30</w:t>
                  </w:r>
                </w:p>
              </w:tc>
              <w:tc>
                <w:tcPr>
                  <w:tcW w:w="1386" w:type="dxa"/>
                  <w:vAlign w:val="center"/>
                </w:tcPr>
                <w:p>
                  <w:pPr>
                    <w:widowControl/>
                    <w:jc w:val="center"/>
                    <w:textAlignment w:val="center"/>
                    <w:rPr>
                      <w:sz w:val="21"/>
                      <w:szCs w:val="21"/>
                    </w:rPr>
                  </w:pPr>
                  <w:r>
                    <w:rPr>
                      <w:color w:val="000000"/>
                      <w:kern w:val="0"/>
                      <w:sz w:val="21"/>
                      <w:szCs w:val="21"/>
                    </w:rPr>
                    <w:t>15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10.95</w:t>
                  </w:r>
                </w:p>
              </w:tc>
              <w:tc>
                <w:tcPr>
                  <w:tcW w:w="1386" w:type="dxa"/>
                  <w:vAlign w:val="center"/>
                </w:tcPr>
                <w:p>
                  <w:pPr>
                    <w:widowControl/>
                    <w:jc w:val="center"/>
                    <w:textAlignment w:val="center"/>
                    <w:rPr>
                      <w:sz w:val="21"/>
                      <w:szCs w:val="21"/>
                    </w:rPr>
                  </w:pPr>
                  <w:r>
                    <w:rPr>
                      <w:color w:val="000000"/>
                      <w:kern w:val="0"/>
                      <w:sz w:val="21"/>
                      <w:szCs w:val="21"/>
                    </w:rPr>
                    <w:t>5.475</w:t>
                  </w:r>
                </w:p>
              </w:tc>
              <w:tc>
                <w:tcPr>
                  <w:tcW w:w="1478" w:type="dxa"/>
                  <w:vAlign w:val="center"/>
                </w:tcPr>
                <w:p>
                  <w:pPr>
                    <w:widowControl/>
                    <w:jc w:val="center"/>
                    <w:textAlignment w:val="center"/>
                    <w:rPr>
                      <w:sz w:val="21"/>
                      <w:szCs w:val="21"/>
                    </w:rPr>
                  </w:pPr>
                  <w:r>
                    <w:rPr>
                      <w:color w:val="000000"/>
                      <w:kern w:val="0"/>
                      <w:sz w:val="21"/>
                      <w:szCs w:val="21"/>
                    </w:rPr>
                    <w:t>0.5475</w:t>
                  </w:r>
                </w:p>
              </w:tc>
              <w:tc>
                <w:tcPr>
                  <w:tcW w:w="1319" w:type="dxa"/>
                  <w:vAlign w:val="center"/>
                </w:tcPr>
                <w:p>
                  <w:pPr>
                    <w:widowControl/>
                    <w:jc w:val="center"/>
                    <w:textAlignment w:val="center"/>
                    <w:rPr>
                      <w:sz w:val="21"/>
                      <w:szCs w:val="21"/>
                    </w:rPr>
                  </w:pPr>
                  <w:r>
                    <w:rPr>
                      <w:color w:val="000000"/>
                      <w:kern w:val="0"/>
                      <w:sz w:val="21"/>
                      <w:szCs w:val="21"/>
                    </w:rPr>
                    <w:t>0.1095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削减</w:t>
                  </w:r>
                </w:p>
              </w:tc>
              <w:tc>
                <w:tcPr>
                  <w:tcW w:w="1838" w:type="dxa"/>
                  <w:vAlign w:val="center"/>
                </w:tcPr>
                <w:p>
                  <w:pPr>
                    <w:jc w:val="center"/>
                    <w:rPr>
                      <w:sz w:val="21"/>
                      <w:szCs w:val="21"/>
                    </w:rPr>
                  </w:pPr>
                  <w:r>
                    <w:rPr>
                      <w:sz w:val="21"/>
                      <w:szCs w:val="21"/>
                    </w:rPr>
                    <w:t>去除量(t/a)</w:t>
                  </w:r>
                </w:p>
              </w:tc>
              <w:tc>
                <w:tcPr>
                  <w:tcW w:w="1256" w:type="dxa"/>
                  <w:vAlign w:val="center"/>
                </w:tcPr>
                <w:p>
                  <w:pPr>
                    <w:widowControl/>
                    <w:jc w:val="center"/>
                    <w:textAlignment w:val="center"/>
                    <w:rPr>
                      <w:sz w:val="21"/>
                      <w:szCs w:val="21"/>
                    </w:rPr>
                  </w:pPr>
                  <w:r>
                    <w:rPr>
                      <w:color w:val="000000"/>
                      <w:kern w:val="0"/>
                      <w:sz w:val="21"/>
                      <w:szCs w:val="21"/>
                    </w:rPr>
                    <w:t>91.25</w:t>
                  </w:r>
                </w:p>
              </w:tc>
              <w:tc>
                <w:tcPr>
                  <w:tcW w:w="1386" w:type="dxa"/>
                  <w:vAlign w:val="center"/>
                </w:tcPr>
                <w:p>
                  <w:pPr>
                    <w:widowControl/>
                    <w:jc w:val="center"/>
                    <w:textAlignment w:val="center"/>
                    <w:rPr>
                      <w:sz w:val="21"/>
                      <w:szCs w:val="21"/>
                    </w:rPr>
                  </w:pPr>
                  <w:r>
                    <w:rPr>
                      <w:color w:val="000000"/>
                      <w:kern w:val="0"/>
                      <w:sz w:val="21"/>
                      <w:szCs w:val="21"/>
                    </w:rPr>
                    <w:t>7.3</w:t>
                  </w:r>
                </w:p>
              </w:tc>
              <w:tc>
                <w:tcPr>
                  <w:tcW w:w="1478" w:type="dxa"/>
                  <w:vAlign w:val="center"/>
                </w:tcPr>
                <w:p>
                  <w:pPr>
                    <w:widowControl/>
                    <w:jc w:val="center"/>
                    <w:textAlignment w:val="center"/>
                    <w:rPr>
                      <w:sz w:val="21"/>
                      <w:szCs w:val="21"/>
                    </w:rPr>
                  </w:pPr>
                  <w:r>
                    <w:rPr>
                      <w:color w:val="000000"/>
                      <w:kern w:val="0"/>
                      <w:sz w:val="21"/>
                      <w:szCs w:val="21"/>
                    </w:rPr>
                    <w:t>4.9275</w:t>
                  </w:r>
                </w:p>
              </w:tc>
              <w:tc>
                <w:tcPr>
                  <w:tcW w:w="1319" w:type="dxa"/>
                  <w:vAlign w:val="center"/>
                </w:tcPr>
                <w:p>
                  <w:pPr>
                    <w:widowControl/>
                    <w:jc w:val="center"/>
                    <w:textAlignment w:val="center"/>
                    <w:rPr>
                      <w:sz w:val="21"/>
                      <w:szCs w:val="21"/>
                    </w:rPr>
                  </w:pPr>
                  <w:r>
                    <w:rPr>
                      <w:color w:val="000000"/>
                      <w:kern w:val="0"/>
                      <w:sz w:val="21"/>
                      <w:szCs w:val="21"/>
                    </w:rPr>
                    <w:t>0.9855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sz w:val="21"/>
                      <w:szCs w:val="21"/>
                    </w:rPr>
                    <w:t>去除率（%）</w:t>
                  </w:r>
                </w:p>
              </w:tc>
              <w:tc>
                <w:tcPr>
                  <w:tcW w:w="1256" w:type="dxa"/>
                  <w:vAlign w:val="center"/>
                </w:tcPr>
                <w:p>
                  <w:pPr>
                    <w:widowControl/>
                    <w:jc w:val="center"/>
                    <w:textAlignment w:val="center"/>
                    <w:rPr>
                      <w:sz w:val="21"/>
                      <w:szCs w:val="21"/>
                    </w:rPr>
                  </w:pPr>
                  <w:r>
                    <w:rPr>
                      <w:color w:val="000000"/>
                      <w:kern w:val="0"/>
                      <w:sz w:val="21"/>
                      <w:szCs w:val="21"/>
                    </w:rPr>
                    <w:t xml:space="preserve">89.29 </w:t>
                  </w:r>
                </w:p>
              </w:tc>
              <w:tc>
                <w:tcPr>
                  <w:tcW w:w="1386" w:type="dxa"/>
                  <w:vAlign w:val="center"/>
                </w:tcPr>
                <w:p>
                  <w:pPr>
                    <w:widowControl/>
                    <w:jc w:val="center"/>
                    <w:textAlignment w:val="center"/>
                    <w:rPr>
                      <w:sz w:val="21"/>
                      <w:szCs w:val="21"/>
                    </w:rPr>
                  </w:pPr>
                  <w:r>
                    <w:rPr>
                      <w:color w:val="000000"/>
                      <w:kern w:val="0"/>
                      <w:sz w:val="21"/>
                      <w:szCs w:val="21"/>
                    </w:rPr>
                    <w:t xml:space="preserve">57.14 </w:t>
                  </w:r>
                </w:p>
              </w:tc>
              <w:tc>
                <w:tcPr>
                  <w:tcW w:w="1478" w:type="dxa"/>
                  <w:vAlign w:val="center"/>
                </w:tcPr>
                <w:p>
                  <w:pPr>
                    <w:widowControl/>
                    <w:jc w:val="center"/>
                    <w:textAlignment w:val="center"/>
                    <w:rPr>
                      <w:sz w:val="21"/>
                      <w:szCs w:val="21"/>
                    </w:rPr>
                  </w:pPr>
                  <w:r>
                    <w:rPr>
                      <w:color w:val="000000"/>
                      <w:kern w:val="0"/>
                      <w:sz w:val="21"/>
                      <w:szCs w:val="21"/>
                    </w:rPr>
                    <w:t>90</w:t>
                  </w:r>
                </w:p>
              </w:tc>
              <w:tc>
                <w:tcPr>
                  <w:tcW w:w="1319" w:type="dxa"/>
                  <w:vAlign w:val="center"/>
                </w:tcPr>
                <w:p>
                  <w:pPr>
                    <w:widowControl/>
                    <w:jc w:val="center"/>
                    <w:textAlignment w:val="center"/>
                    <w:rPr>
                      <w:sz w:val="21"/>
                      <w:szCs w:val="21"/>
                    </w:rPr>
                  </w:pPr>
                  <w:r>
                    <w:rPr>
                      <w:color w:val="000000"/>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90" w:type="dxa"/>
                  <w:gridSpan w:val="2"/>
                  <w:vAlign w:val="center"/>
                </w:tcPr>
                <w:p>
                  <w:pPr>
                    <w:jc w:val="center"/>
                    <w:rPr>
                      <w:sz w:val="21"/>
                      <w:szCs w:val="21"/>
                    </w:rPr>
                  </w:pPr>
                  <w:r>
                    <w:rPr>
                      <w:rFonts w:hint="eastAsia"/>
                      <w:sz w:val="21"/>
                      <w:szCs w:val="21"/>
                    </w:rPr>
                    <w:t>达标情况</w:t>
                  </w:r>
                </w:p>
              </w:tc>
              <w:tc>
                <w:tcPr>
                  <w:tcW w:w="125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8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478"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19" w:type="dxa"/>
                  <w:vAlign w:val="center"/>
                </w:tcPr>
                <w:p>
                  <w:pPr>
                    <w:widowControl/>
                    <w:jc w:val="center"/>
                    <w:textAlignment w:val="center"/>
                    <w:rPr>
                      <w:color w:val="000000"/>
                      <w:kern w:val="0"/>
                      <w:sz w:val="21"/>
                      <w:szCs w:val="21"/>
                    </w:rPr>
                  </w:pPr>
                  <w:r>
                    <w:rPr>
                      <w:rFonts w:hint="eastAsia"/>
                      <w:color w:val="000000"/>
                      <w:kern w:val="0"/>
                      <w:sz w:val="21"/>
                      <w:szCs w:val="21"/>
                    </w:rPr>
                    <w:t>达标</w:t>
                  </w:r>
                </w:p>
              </w:tc>
            </w:tr>
          </w:tbl>
          <w:p>
            <w:pPr>
              <w:spacing w:line="360" w:lineRule="auto"/>
              <w:jc w:val="center"/>
              <w:rPr>
                <w:b/>
                <w:bCs/>
                <w:sz w:val="21"/>
                <w:szCs w:val="16"/>
              </w:rPr>
            </w:pPr>
            <w:r>
              <w:rPr>
                <w:b/>
                <w:bCs/>
                <w:sz w:val="21"/>
                <w:szCs w:val="16"/>
              </w:rPr>
              <w:t>表7-1</w:t>
            </w:r>
            <w:r>
              <w:rPr>
                <w:rFonts w:hint="eastAsia"/>
                <w:b/>
                <w:bCs/>
                <w:sz w:val="21"/>
                <w:szCs w:val="16"/>
              </w:rPr>
              <w:t>6</w:t>
            </w:r>
            <w:r>
              <w:rPr>
                <w:b/>
                <w:bCs/>
                <w:sz w:val="21"/>
                <w:szCs w:val="16"/>
              </w:rPr>
              <w:t xml:space="preserve"> </w:t>
            </w:r>
            <w:r>
              <w:rPr>
                <w:rFonts w:hint="eastAsia"/>
                <w:b/>
                <w:bCs/>
                <w:sz w:val="21"/>
                <w:szCs w:val="16"/>
              </w:rPr>
              <w:t>牛街</w:t>
            </w:r>
            <w:r>
              <w:rPr>
                <w:b/>
                <w:bCs/>
                <w:sz w:val="21"/>
                <w:szCs w:val="16"/>
              </w:rPr>
              <w:t>污水厂主要污染物削减情况分析一览表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38"/>
              <w:gridCol w:w="1256"/>
              <w:gridCol w:w="1386"/>
              <w:gridCol w:w="1478"/>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590"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56" w:type="dxa"/>
                  <w:vAlign w:val="center"/>
                </w:tcPr>
                <w:p>
                  <w:pPr>
                    <w:jc w:val="center"/>
                    <w:rPr>
                      <w:b/>
                      <w:bCs/>
                      <w:sz w:val="21"/>
                      <w:szCs w:val="21"/>
                    </w:rPr>
                  </w:pPr>
                  <w:r>
                    <w:rPr>
                      <w:b/>
                      <w:bCs/>
                      <w:sz w:val="21"/>
                      <w:szCs w:val="21"/>
                    </w:rPr>
                    <w:t>COD</w:t>
                  </w:r>
                </w:p>
              </w:tc>
              <w:tc>
                <w:tcPr>
                  <w:tcW w:w="1386" w:type="dxa"/>
                  <w:vAlign w:val="center"/>
                </w:tcPr>
                <w:p>
                  <w:pPr>
                    <w:jc w:val="center"/>
                    <w:rPr>
                      <w:b/>
                      <w:bCs/>
                      <w:sz w:val="21"/>
                      <w:szCs w:val="21"/>
                    </w:rPr>
                  </w:pPr>
                  <w:r>
                    <w:rPr>
                      <w:b/>
                      <w:bCs/>
                      <w:sz w:val="21"/>
                      <w:szCs w:val="21"/>
                    </w:rPr>
                    <w:t>TN</w:t>
                  </w:r>
                </w:p>
              </w:tc>
              <w:tc>
                <w:tcPr>
                  <w:tcW w:w="1478"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19"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进水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280</w:t>
                  </w:r>
                </w:p>
              </w:tc>
              <w:tc>
                <w:tcPr>
                  <w:tcW w:w="1386" w:type="dxa"/>
                  <w:vAlign w:val="center"/>
                </w:tcPr>
                <w:p>
                  <w:pPr>
                    <w:widowControl/>
                    <w:jc w:val="center"/>
                    <w:textAlignment w:val="center"/>
                    <w:rPr>
                      <w:sz w:val="21"/>
                      <w:szCs w:val="21"/>
                    </w:rPr>
                  </w:pPr>
                  <w:r>
                    <w:rPr>
                      <w:color w:val="000000"/>
                      <w:kern w:val="0"/>
                      <w:sz w:val="21"/>
                      <w:szCs w:val="21"/>
                    </w:rPr>
                    <w:t>35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102.2</w:t>
                  </w:r>
                </w:p>
              </w:tc>
              <w:tc>
                <w:tcPr>
                  <w:tcW w:w="1386" w:type="dxa"/>
                  <w:vAlign w:val="center"/>
                </w:tcPr>
                <w:p>
                  <w:pPr>
                    <w:widowControl/>
                    <w:jc w:val="center"/>
                    <w:textAlignment w:val="center"/>
                    <w:rPr>
                      <w:sz w:val="21"/>
                      <w:szCs w:val="21"/>
                    </w:rPr>
                  </w:pPr>
                  <w:r>
                    <w:rPr>
                      <w:color w:val="000000"/>
                      <w:kern w:val="0"/>
                      <w:sz w:val="21"/>
                      <w:szCs w:val="21"/>
                    </w:rPr>
                    <w:t>12.775</w:t>
                  </w:r>
                </w:p>
              </w:tc>
              <w:tc>
                <w:tcPr>
                  <w:tcW w:w="1478" w:type="dxa"/>
                  <w:vAlign w:val="center"/>
                </w:tcPr>
                <w:p>
                  <w:pPr>
                    <w:widowControl/>
                    <w:jc w:val="center"/>
                    <w:textAlignment w:val="center"/>
                    <w:rPr>
                      <w:sz w:val="21"/>
                      <w:szCs w:val="21"/>
                    </w:rPr>
                  </w:pPr>
                  <w:r>
                    <w:rPr>
                      <w:color w:val="000000"/>
                      <w:kern w:val="0"/>
                      <w:sz w:val="21"/>
                      <w:szCs w:val="21"/>
                    </w:rPr>
                    <w:t>5.475</w:t>
                  </w:r>
                </w:p>
              </w:tc>
              <w:tc>
                <w:tcPr>
                  <w:tcW w:w="1319"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出水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30</w:t>
                  </w:r>
                </w:p>
              </w:tc>
              <w:tc>
                <w:tcPr>
                  <w:tcW w:w="1386" w:type="dxa"/>
                  <w:vAlign w:val="center"/>
                </w:tcPr>
                <w:p>
                  <w:pPr>
                    <w:widowControl/>
                    <w:jc w:val="center"/>
                    <w:textAlignment w:val="center"/>
                    <w:rPr>
                      <w:sz w:val="21"/>
                      <w:szCs w:val="21"/>
                    </w:rPr>
                  </w:pPr>
                  <w:r>
                    <w:rPr>
                      <w:color w:val="000000"/>
                      <w:kern w:val="0"/>
                      <w:sz w:val="21"/>
                      <w:szCs w:val="21"/>
                    </w:rPr>
                    <w:t>15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10.95</w:t>
                  </w:r>
                </w:p>
              </w:tc>
              <w:tc>
                <w:tcPr>
                  <w:tcW w:w="1386" w:type="dxa"/>
                  <w:vAlign w:val="center"/>
                </w:tcPr>
                <w:p>
                  <w:pPr>
                    <w:widowControl/>
                    <w:jc w:val="center"/>
                    <w:textAlignment w:val="center"/>
                    <w:rPr>
                      <w:sz w:val="21"/>
                      <w:szCs w:val="21"/>
                    </w:rPr>
                  </w:pPr>
                  <w:r>
                    <w:rPr>
                      <w:color w:val="000000"/>
                      <w:kern w:val="0"/>
                      <w:sz w:val="21"/>
                      <w:szCs w:val="21"/>
                    </w:rPr>
                    <w:t>5.475</w:t>
                  </w:r>
                </w:p>
              </w:tc>
              <w:tc>
                <w:tcPr>
                  <w:tcW w:w="1478" w:type="dxa"/>
                  <w:vAlign w:val="center"/>
                </w:tcPr>
                <w:p>
                  <w:pPr>
                    <w:widowControl/>
                    <w:jc w:val="center"/>
                    <w:textAlignment w:val="center"/>
                    <w:rPr>
                      <w:sz w:val="21"/>
                      <w:szCs w:val="21"/>
                    </w:rPr>
                  </w:pPr>
                  <w:r>
                    <w:rPr>
                      <w:color w:val="000000"/>
                      <w:kern w:val="0"/>
                      <w:sz w:val="21"/>
                      <w:szCs w:val="21"/>
                    </w:rPr>
                    <w:t>0.5475</w:t>
                  </w:r>
                </w:p>
              </w:tc>
              <w:tc>
                <w:tcPr>
                  <w:tcW w:w="1319" w:type="dxa"/>
                  <w:vAlign w:val="center"/>
                </w:tcPr>
                <w:p>
                  <w:pPr>
                    <w:widowControl/>
                    <w:jc w:val="center"/>
                    <w:textAlignment w:val="center"/>
                    <w:rPr>
                      <w:sz w:val="21"/>
                      <w:szCs w:val="21"/>
                    </w:rPr>
                  </w:pPr>
                  <w:r>
                    <w:rPr>
                      <w:color w:val="000000"/>
                      <w:kern w:val="0"/>
                      <w:sz w:val="21"/>
                      <w:szCs w:val="21"/>
                    </w:rPr>
                    <w:t>0.1095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削减</w:t>
                  </w:r>
                </w:p>
              </w:tc>
              <w:tc>
                <w:tcPr>
                  <w:tcW w:w="1838" w:type="dxa"/>
                  <w:vAlign w:val="center"/>
                </w:tcPr>
                <w:p>
                  <w:pPr>
                    <w:jc w:val="center"/>
                    <w:rPr>
                      <w:sz w:val="21"/>
                      <w:szCs w:val="21"/>
                    </w:rPr>
                  </w:pPr>
                  <w:r>
                    <w:rPr>
                      <w:sz w:val="21"/>
                      <w:szCs w:val="21"/>
                    </w:rPr>
                    <w:t>去除量(t/a)</w:t>
                  </w:r>
                </w:p>
              </w:tc>
              <w:tc>
                <w:tcPr>
                  <w:tcW w:w="1256" w:type="dxa"/>
                  <w:vAlign w:val="center"/>
                </w:tcPr>
                <w:p>
                  <w:pPr>
                    <w:widowControl/>
                    <w:jc w:val="center"/>
                    <w:textAlignment w:val="center"/>
                    <w:rPr>
                      <w:sz w:val="21"/>
                      <w:szCs w:val="21"/>
                    </w:rPr>
                  </w:pPr>
                  <w:r>
                    <w:rPr>
                      <w:color w:val="000000"/>
                      <w:kern w:val="0"/>
                      <w:sz w:val="21"/>
                      <w:szCs w:val="21"/>
                    </w:rPr>
                    <w:t>91.25</w:t>
                  </w:r>
                </w:p>
              </w:tc>
              <w:tc>
                <w:tcPr>
                  <w:tcW w:w="1386" w:type="dxa"/>
                  <w:vAlign w:val="center"/>
                </w:tcPr>
                <w:p>
                  <w:pPr>
                    <w:widowControl/>
                    <w:jc w:val="center"/>
                    <w:textAlignment w:val="center"/>
                    <w:rPr>
                      <w:sz w:val="21"/>
                      <w:szCs w:val="21"/>
                    </w:rPr>
                  </w:pPr>
                  <w:r>
                    <w:rPr>
                      <w:color w:val="000000"/>
                      <w:kern w:val="0"/>
                      <w:sz w:val="21"/>
                      <w:szCs w:val="21"/>
                    </w:rPr>
                    <w:t>7.3</w:t>
                  </w:r>
                </w:p>
              </w:tc>
              <w:tc>
                <w:tcPr>
                  <w:tcW w:w="1478" w:type="dxa"/>
                  <w:vAlign w:val="center"/>
                </w:tcPr>
                <w:p>
                  <w:pPr>
                    <w:widowControl/>
                    <w:jc w:val="center"/>
                    <w:textAlignment w:val="center"/>
                    <w:rPr>
                      <w:sz w:val="21"/>
                      <w:szCs w:val="21"/>
                    </w:rPr>
                  </w:pPr>
                  <w:r>
                    <w:rPr>
                      <w:color w:val="000000"/>
                      <w:kern w:val="0"/>
                      <w:sz w:val="21"/>
                      <w:szCs w:val="21"/>
                    </w:rPr>
                    <w:t>4.9275</w:t>
                  </w:r>
                </w:p>
              </w:tc>
              <w:tc>
                <w:tcPr>
                  <w:tcW w:w="1319" w:type="dxa"/>
                  <w:vAlign w:val="center"/>
                </w:tcPr>
                <w:p>
                  <w:pPr>
                    <w:widowControl/>
                    <w:jc w:val="center"/>
                    <w:textAlignment w:val="center"/>
                    <w:rPr>
                      <w:sz w:val="21"/>
                      <w:szCs w:val="21"/>
                    </w:rPr>
                  </w:pPr>
                  <w:r>
                    <w:rPr>
                      <w:color w:val="000000"/>
                      <w:kern w:val="0"/>
                      <w:sz w:val="21"/>
                      <w:szCs w:val="21"/>
                    </w:rPr>
                    <w:t>0.9855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sz w:val="21"/>
                      <w:szCs w:val="21"/>
                    </w:rPr>
                    <w:t>去除率（%）</w:t>
                  </w:r>
                </w:p>
              </w:tc>
              <w:tc>
                <w:tcPr>
                  <w:tcW w:w="1256" w:type="dxa"/>
                  <w:vAlign w:val="center"/>
                </w:tcPr>
                <w:p>
                  <w:pPr>
                    <w:widowControl/>
                    <w:jc w:val="center"/>
                    <w:textAlignment w:val="center"/>
                    <w:rPr>
                      <w:sz w:val="21"/>
                      <w:szCs w:val="21"/>
                    </w:rPr>
                  </w:pPr>
                  <w:r>
                    <w:rPr>
                      <w:color w:val="000000"/>
                      <w:kern w:val="0"/>
                      <w:sz w:val="21"/>
                      <w:szCs w:val="21"/>
                    </w:rPr>
                    <w:t xml:space="preserve">89.29 </w:t>
                  </w:r>
                </w:p>
              </w:tc>
              <w:tc>
                <w:tcPr>
                  <w:tcW w:w="1386" w:type="dxa"/>
                  <w:vAlign w:val="center"/>
                </w:tcPr>
                <w:p>
                  <w:pPr>
                    <w:widowControl/>
                    <w:jc w:val="center"/>
                    <w:textAlignment w:val="center"/>
                    <w:rPr>
                      <w:sz w:val="21"/>
                      <w:szCs w:val="21"/>
                    </w:rPr>
                  </w:pPr>
                  <w:r>
                    <w:rPr>
                      <w:color w:val="000000"/>
                      <w:kern w:val="0"/>
                      <w:sz w:val="21"/>
                      <w:szCs w:val="21"/>
                    </w:rPr>
                    <w:t xml:space="preserve">57.14 </w:t>
                  </w:r>
                </w:p>
              </w:tc>
              <w:tc>
                <w:tcPr>
                  <w:tcW w:w="1478" w:type="dxa"/>
                  <w:vAlign w:val="center"/>
                </w:tcPr>
                <w:p>
                  <w:pPr>
                    <w:widowControl/>
                    <w:jc w:val="center"/>
                    <w:textAlignment w:val="center"/>
                    <w:rPr>
                      <w:sz w:val="21"/>
                      <w:szCs w:val="21"/>
                    </w:rPr>
                  </w:pPr>
                  <w:r>
                    <w:rPr>
                      <w:color w:val="000000"/>
                      <w:kern w:val="0"/>
                      <w:sz w:val="21"/>
                      <w:szCs w:val="21"/>
                    </w:rPr>
                    <w:t>90</w:t>
                  </w:r>
                </w:p>
              </w:tc>
              <w:tc>
                <w:tcPr>
                  <w:tcW w:w="1319" w:type="dxa"/>
                  <w:vAlign w:val="center"/>
                </w:tcPr>
                <w:p>
                  <w:pPr>
                    <w:widowControl/>
                    <w:jc w:val="center"/>
                    <w:textAlignment w:val="center"/>
                    <w:rPr>
                      <w:sz w:val="21"/>
                      <w:szCs w:val="21"/>
                    </w:rPr>
                  </w:pPr>
                  <w:r>
                    <w:rPr>
                      <w:color w:val="000000"/>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90" w:type="dxa"/>
                  <w:gridSpan w:val="2"/>
                  <w:vAlign w:val="center"/>
                </w:tcPr>
                <w:p>
                  <w:pPr>
                    <w:jc w:val="center"/>
                    <w:rPr>
                      <w:sz w:val="21"/>
                      <w:szCs w:val="21"/>
                    </w:rPr>
                  </w:pPr>
                  <w:r>
                    <w:rPr>
                      <w:rFonts w:hint="eastAsia"/>
                      <w:sz w:val="21"/>
                      <w:szCs w:val="21"/>
                    </w:rPr>
                    <w:t>达标情况</w:t>
                  </w:r>
                </w:p>
              </w:tc>
              <w:tc>
                <w:tcPr>
                  <w:tcW w:w="125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8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478"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19" w:type="dxa"/>
                  <w:vAlign w:val="center"/>
                </w:tcPr>
                <w:p>
                  <w:pPr>
                    <w:widowControl/>
                    <w:jc w:val="center"/>
                    <w:textAlignment w:val="center"/>
                    <w:rPr>
                      <w:color w:val="000000"/>
                      <w:kern w:val="0"/>
                      <w:sz w:val="21"/>
                      <w:szCs w:val="21"/>
                    </w:rPr>
                  </w:pPr>
                  <w:r>
                    <w:rPr>
                      <w:rFonts w:hint="eastAsia"/>
                      <w:color w:val="000000"/>
                      <w:kern w:val="0"/>
                      <w:sz w:val="21"/>
                      <w:szCs w:val="21"/>
                    </w:rPr>
                    <w:t>达标</w:t>
                  </w:r>
                </w:p>
              </w:tc>
            </w:tr>
          </w:tbl>
          <w:p>
            <w:pPr>
              <w:adjustRightInd w:val="0"/>
              <w:snapToGrid w:val="0"/>
              <w:spacing w:beforeLines="50" w:line="360" w:lineRule="auto"/>
              <w:ind w:firstLine="482"/>
            </w:pPr>
            <w:r>
              <w:rPr>
                <w:rFonts w:hint="eastAsia"/>
              </w:rPr>
              <w:t>根据上表分析，正常工况下，实现各污染物的去除率为COD：89.29%，TN：57.14%，NH</w:t>
            </w:r>
            <w:r>
              <w:rPr>
                <w:rFonts w:hint="eastAsia"/>
                <w:vertAlign w:val="subscript"/>
              </w:rPr>
              <w:t>3</w:t>
            </w:r>
            <w:r>
              <w:rPr>
                <w:rFonts w:hint="eastAsia"/>
              </w:rPr>
              <w:t>-N：90%，</w:t>
            </w:r>
            <w:r>
              <w:t>TP：</w:t>
            </w:r>
            <w:r>
              <w:rPr>
                <w:rFonts w:hint="eastAsia"/>
              </w:rPr>
              <w:t>90%</w:t>
            </w:r>
            <w:r>
              <w:t>，</w:t>
            </w:r>
            <w:r>
              <w:rPr>
                <w:rFonts w:hint="eastAsia"/>
              </w:rPr>
              <w:t>对氨氮、总磷体现出较高的去除效果，有效控制高磷、高氮废水造成地表水体富营养化。因此，项目建设后对周围地表水环境的改善是有效的。</w:t>
            </w:r>
          </w:p>
          <w:p>
            <w:pPr>
              <w:pStyle w:val="2"/>
              <w:adjustRightInd w:val="0"/>
              <w:spacing w:before="0" w:after="0" w:line="360" w:lineRule="auto"/>
              <w:ind w:firstLine="559" w:firstLineChars="232"/>
              <w:jc w:val="both"/>
              <w:rPr>
                <w:b/>
                <w:bCs/>
              </w:rPr>
            </w:pPr>
            <w:r>
              <w:rPr>
                <w:rFonts w:hint="eastAsia"/>
                <w:b/>
                <w:bCs/>
              </w:rPr>
              <w:t>（3）非正常工况影响分析</w:t>
            </w:r>
          </w:p>
          <w:p>
            <w:pPr>
              <w:autoSpaceDE w:val="0"/>
              <w:autoSpaceDN w:val="0"/>
              <w:spacing w:line="360" w:lineRule="auto"/>
              <w:ind w:firstLine="480" w:firstLineChars="200"/>
            </w:pPr>
            <w:r>
              <w:rPr>
                <w:rFonts w:hint="eastAsia"/>
              </w:rPr>
              <w:t>根据工程分析，本项目污水处理厂在非正常工况下，所有污染物未经处理或达不到预期治理效果是污染物直接进入人工湿地，此时，三座污水处理厂主要污染物的排放量为COD：408.8t/a，TN：51.1t/a，NH</w:t>
            </w:r>
            <w:r>
              <w:rPr>
                <w:rFonts w:hint="eastAsia"/>
                <w:vertAlign w:val="subscript"/>
              </w:rPr>
              <w:t>3</w:t>
            </w:r>
            <w:r>
              <w:rPr>
                <w:rFonts w:hint="eastAsia"/>
              </w:rPr>
              <w:t>-N：21.9t/a</w:t>
            </w:r>
            <w:r>
              <w:t>，TP：</w:t>
            </w:r>
            <w:r>
              <w:rPr>
                <w:rFonts w:hint="eastAsia"/>
              </w:rPr>
              <w:t>4.38t/a。大量高浓度的污水直接进入湿地，将造成湿地内植物的大量死亡，导致水体富营养化，在地表径流的作用下，最终将会对洱海水质造成严重的影响。</w:t>
            </w:r>
          </w:p>
          <w:p>
            <w:pPr>
              <w:autoSpaceDE w:val="0"/>
              <w:autoSpaceDN w:val="0"/>
              <w:spacing w:line="360" w:lineRule="auto"/>
              <w:ind w:firstLine="480" w:firstLineChars="200"/>
              <w:rPr>
                <w:bCs/>
              </w:rPr>
            </w:pPr>
            <w:r>
              <w:rPr>
                <w:rFonts w:hint="eastAsia"/>
              </w:rPr>
              <w:t>本项目采用先进工艺设备运行稳定</w:t>
            </w:r>
            <w:r>
              <w:rPr>
                <w:shd w:val="clear" w:color="auto" w:fill="FFFFFF"/>
              </w:rPr>
              <w:t>，</w:t>
            </w:r>
            <w:r>
              <w:rPr>
                <w:rFonts w:hint="eastAsia"/>
                <w:shd w:val="clear" w:color="auto" w:fill="FFFFFF"/>
              </w:rPr>
              <w:t>目前已在洱海流域得到广泛使用，根据以往的运行效果，发生非正常排放事故的概率是非常小的，</w:t>
            </w:r>
            <w:r>
              <w:rPr>
                <w:rFonts w:hint="eastAsia"/>
                <w:color w:val="FF0000"/>
                <w:shd w:val="clear" w:color="auto" w:fill="FFFFFF"/>
              </w:rPr>
              <w:t>且原有工程的构筑物均可作为应急事故池，及时发生非正常事故，也能将事故废水收集不外排。</w:t>
            </w:r>
            <w:r>
              <w:rPr>
                <w:rFonts w:hint="eastAsia"/>
                <w:shd w:val="clear" w:color="auto" w:fill="FFFFFF"/>
              </w:rPr>
              <w:t>另外，三座污水处理厂均安装有在线监测系统，能够实时监测污水厂的出水水质状况，且均</w:t>
            </w:r>
            <w:r>
              <w:rPr>
                <w:bCs/>
              </w:rPr>
              <w:t>采用双电源供电，</w:t>
            </w:r>
            <w:r>
              <w:rPr>
                <w:rFonts w:hint="eastAsia"/>
                <w:shd w:val="clear" w:color="auto" w:fill="FFFFFF"/>
              </w:rPr>
              <w:t>主要设备均一备一用，以防设备和电力故障造成的非正常排放。</w:t>
            </w:r>
            <w:r>
              <w:rPr>
                <w:rFonts w:hint="eastAsia"/>
                <w:bCs/>
              </w:rPr>
              <w:t>为避免污水非正常排放造成的严重影响，</w:t>
            </w:r>
            <w:r>
              <w:rPr>
                <w:rFonts w:hint="eastAsia"/>
              </w:rPr>
              <w:t>环评</w:t>
            </w:r>
            <w:r>
              <w:rPr>
                <w:bCs/>
              </w:rPr>
              <w:t>针对以上三种情况制定</w:t>
            </w:r>
            <w:r>
              <w:rPr>
                <w:rFonts w:hint="eastAsia"/>
                <w:bCs/>
              </w:rPr>
              <w:t>了污</w:t>
            </w:r>
            <w:r>
              <w:rPr>
                <w:bCs/>
              </w:rPr>
              <w:t>水处理站防治措施与对策：</w:t>
            </w:r>
          </w:p>
          <w:p>
            <w:pPr>
              <w:autoSpaceDE w:val="0"/>
              <w:autoSpaceDN w:val="0"/>
              <w:spacing w:line="360" w:lineRule="auto"/>
              <w:ind w:firstLine="480" w:firstLineChars="200"/>
            </w:pPr>
            <w:r>
              <w:rPr>
                <w:rFonts w:hint="eastAsia"/>
              </w:rPr>
              <w:t>①</w:t>
            </w:r>
            <w:r>
              <w:t>严格规范化操作</w:t>
            </w:r>
          </w:p>
          <w:p>
            <w:pPr>
              <w:autoSpaceDE w:val="0"/>
              <w:autoSpaceDN w:val="0"/>
              <w:spacing w:line="360" w:lineRule="auto"/>
              <w:ind w:firstLine="480" w:firstLineChars="200"/>
              <w:rPr>
                <w:bCs/>
              </w:rPr>
            </w:pPr>
            <w:r>
              <w:rPr>
                <w:rFonts w:hint="eastAsia"/>
                <w:bCs/>
              </w:rPr>
              <w:t>污水处理厂</w:t>
            </w:r>
            <w:r>
              <w:rPr>
                <w:bCs/>
              </w:rPr>
              <w:t>不能达标排放的机率较小，只要加强管理完全可以防止。为此，</w:t>
            </w:r>
            <w:r>
              <w:rPr>
                <w:rFonts w:hint="eastAsia"/>
                <w:bCs/>
              </w:rPr>
              <w:t>项目</w:t>
            </w:r>
            <w:r>
              <w:rPr>
                <w:bCs/>
              </w:rPr>
              <w:t>要制定</w:t>
            </w:r>
            <w:r>
              <w:rPr>
                <w:rFonts w:hint="eastAsia"/>
                <w:bCs/>
              </w:rPr>
              <w:t>污</w:t>
            </w:r>
            <w:r>
              <w:rPr>
                <w:bCs/>
              </w:rPr>
              <w:t>水处理</w:t>
            </w:r>
            <w:r>
              <w:rPr>
                <w:rFonts w:hint="eastAsia"/>
                <w:bCs/>
              </w:rPr>
              <w:t>站</w:t>
            </w:r>
            <w:r>
              <w:rPr>
                <w:bCs/>
              </w:rPr>
              <w:t>装置操作管理规程、岗位责任制、奖惩条例等规章制度，对</w:t>
            </w:r>
            <w:r>
              <w:rPr>
                <w:rFonts w:hint="eastAsia"/>
                <w:bCs/>
              </w:rPr>
              <w:t>污</w:t>
            </w:r>
            <w:r>
              <w:rPr>
                <w:bCs/>
              </w:rPr>
              <w:t>水处理</w:t>
            </w:r>
            <w:r>
              <w:rPr>
                <w:rFonts w:hint="eastAsia"/>
                <w:bCs/>
              </w:rPr>
              <w:t>站</w:t>
            </w:r>
            <w:r>
              <w:rPr>
                <w:bCs/>
              </w:rPr>
              <w:t>实现规范化、制度化管理，操作人员必须持证上岗，严格执行操作管理规定，最大限度控制由于操作失误因素造成的废水事故性排放发生机率。</w:t>
            </w:r>
          </w:p>
          <w:p>
            <w:pPr>
              <w:autoSpaceDE w:val="0"/>
              <w:autoSpaceDN w:val="0"/>
              <w:spacing w:line="360" w:lineRule="auto"/>
              <w:ind w:firstLine="480" w:firstLineChars="200"/>
            </w:pPr>
            <w:r>
              <w:rPr>
                <w:rFonts w:hint="eastAsia"/>
              </w:rPr>
              <w:t>②</w:t>
            </w:r>
            <w:r>
              <w:t>建立必要的预备系统</w:t>
            </w:r>
          </w:p>
          <w:p>
            <w:pPr>
              <w:autoSpaceDE w:val="0"/>
              <w:autoSpaceDN w:val="0"/>
              <w:spacing w:line="360" w:lineRule="auto"/>
              <w:ind w:firstLine="480" w:firstLineChars="200"/>
              <w:rPr>
                <w:bCs/>
              </w:rPr>
            </w:pPr>
            <w:r>
              <w:rPr>
                <w:bCs/>
              </w:rPr>
              <w:t>为了使</w:t>
            </w:r>
            <w:r>
              <w:rPr>
                <w:rFonts w:hint="eastAsia"/>
                <w:bCs/>
              </w:rPr>
              <w:t>污</w:t>
            </w:r>
            <w:r>
              <w:rPr>
                <w:bCs/>
              </w:rPr>
              <w:t>水能在处理构筑物之间通畅流动，必须确定各处理构筑物的高程，特别是两个以上并联运行的构筑物，</w:t>
            </w:r>
            <w:r>
              <w:rPr>
                <w:rFonts w:hint="eastAsia"/>
                <w:bCs/>
              </w:rPr>
              <w:t>项目在设计时应</w:t>
            </w:r>
            <w:r>
              <w:rPr>
                <w:bCs/>
              </w:rPr>
              <w:t>考虑到某一构筑物发生故障时，其余构筑物须负担全部流量的情况。因此高程的确定留有充分的余地，以防止水头不够而发生涌水现象，影响构筑物正常运行。</w:t>
            </w:r>
          </w:p>
          <w:p>
            <w:pPr>
              <w:autoSpaceDE w:val="0"/>
              <w:autoSpaceDN w:val="0"/>
              <w:spacing w:line="360" w:lineRule="auto"/>
              <w:ind w:firstLine="480" w:firstLineChars="200"/>
            </w:pPr>
            <w:r>
              <w:rPr>
                <w:rFonts w:hint="eastAsia"/>
              </w:rPr>
              <w:t>③</w:t>
            </w:r>
            <w:r>
              <w:t>制定事故及时处理计划</w:t>
            </w:r>
          </w:p>
          <w:p>
            <w:pPr>
              <w:spacing w:line="360" w:lineRule="auto"/>
              <w:ind w:firstLine="480" w:firstLineChars="200"/>
              <w:rPr>
                <w:b/>
                <w:szCs w:val="24"/>
              </w:rPr>
            </w:pPr>
            <w:r>
              <w:rPr>
                <w:bCs/>
              </w:rPr>
              <w:t>制定事故处理应急计划，建立事故处理机构，落实各部分、各岗位、各操作管理人员的责任，一旦发生事故，及时采取处理措施在最短时间内排除故障</w:t>
            </w:r>
            <w:r>
              <w:rPr>
                <w:rFonts w:hint="eastAsia"/>
                <w:bCs/>
              </w:rPr>
              <w:t>大的影响。</w:t>
            </w:r>
          </w:p>
          <w:p>
            <w:pPr>
              <w:spacing w:line="360" w:lineRule="auto"/>
              <w:ind w:firstLine="482" w:firstLineChars="200"/>
              <w:rPr>
                <w:b/>
                <w:szCs w:val="24"/>
              </w:rPr>
            </w:pPr>
            <w:r>
              <w:rPr>
                <w:b/>
                <w:szCs w:val="24"/>
              </w:rPr>
              <w:t>3、声</w:t>
            </w:r>
            <w:r>
              <w:rPr>
                <w:rFonts w:hint="eastAsia"/>
                <w:b/>
                <w:szCs w:val="24"/>
              </w:rPr>
              <w:t>环境影响分析</w:t>
            </w:r>
          </w:p>
          <w:p>
            <w:pPr>
              <w:autoSpaceDE w:val="0"/>
              <w:autoSpaceDN w:val="0"/>
              <w:spacing w:line="360" w:lineRule="auto"/>
              <w:ind w:firstLine="482" w:firstLineChars="200"/>
              <w:rPr>
                <w:b/>
                <w:bCs/>
              </w:rPr>
            </w:pPr>
            <w:r>
              <w:rPr>
                <w:rFonts w:hint="eastAsia"/>
                <w:b/>
                <w:bCs/>
              </w:rPr>
              <w:t>（1）评价等级的判定</w:t>
            </w:r>
          </w:p>
          <w:p>
            <w:pPr>
              <w:autoSpaceDE w:val="0"/>
              <w:autoSpaceDN w:val="0"/>
              <w:spacing w:line="360" w:lineRule="auto"/>
              <w:ind w:firstLine="480" w:firstLineChars="200"/>
            </w:pPr>
            <w:r>
              <w:rPr>
                <w:rFonts w:hint="eastAsia"/>
                <w:bCs/>
              </w:rPr>
              <w:t>根据工程分析，本项目</w:t>
            </w:r>
            <w:r>
              <w:rPr>
                <w:bCs/>
              </w:rPr>
              <w:t>营运期间产生的噪声主要来自污水处理站内的鼓风机、</w:t>
            </w:r>
            <w:r>
              <w:rPr>
                <w:rFonts w:hint="eastAsia"/>
                <w:bCs/>
              </w:rPr>
              <w:t>提升泵、污泥回流</w:t>
            </w:r>
            <w:r>
              <w:rPr>
                <w:bCs/>
              </w:rPr>
              <w:t>泵等设备</w:t>
            </w:r>
            <w:r>
              <w:rPr>
                <w:rFonts w:hint="eastAsia"/>
                <w:bCs/>
              </w:rPr>
              <w:t>，噪声源强约为85~105dB(A)，属于固定声源</w:t>
            </w:r>
            <w:r>
              <w:rPr>
                <w:rFonts w:hint="eastAsia"/>
              </w:rPr>
              <w:t>。项目位于大理州洱源县的乡村地区，属于《声环境质量标准》（GB3096-2008）中规定的2类地区，项目噪声影响范围内有居民点等声环境保护目标，根据《环境影响评价技术导则—声环境》（HJ2.3-2009）的工作等级要求，本评价项目声环境影响评价的工作等级为二级。</w:t>
            </w:r>
          </w:p>
          <w:p>
            <w:pPr>
              <w:tabs>
                <w:tab w:val="left" w:pos="426"/>
              </w:tabs>
              <w:spacing w:line="360" w:lineRule="auto"/>
              <w:jc w:val="center"/>
              <w:rPr>
                <w:b/>
                <w:bCs/>
                <w:color w:val="000000"/>
                <w:sz w:val="21"/>
                <w:szCs w:val="21"/>
              </w:rPr>
            </w:pPr>
            <w:r>
              <w:rPr>
                <w:rFonts w:hint="eastAsia"/>
                <w:b/>
                <w:bCs/>
                <w:color w:val="000000"/>
                <w:sz w:val="21"/>
                <w:szCs w:val="21"/>
              </w:rPr>
              <w:t>表7-17  声环境影响评价等级划分依据</w:t>
            </w:r>
          </w:p>
          <w:tbl>
            <w:tblPr>
              <w:tblStyle w:val="3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41"/>
              <w:gridCol w:w="1125"/>
              <w:gridCol w:w="1481"/>
              <w:gridCol w:w="1777"/>
              <w:gridCol w:w="30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
                      <w:bCs/>
                      <w:color w:val="000000"/>
                      <w:sz w:val="21"/>
                      <w:szCs w:val="21"/>
                    </w:rPr>
                  </w:pPr>
                  <w:r>
                    <w:rPr>
                      <w:b/>
                      <w:bCs/>
                      <w:color w:val="000000"/>
                      <w:sz w:val="21"/>
                      <w:szCs w:val="21"/>
                    </w:rPr>
                    <w:t>判别依据</w:t>
                  </w:r>
                </w:p>
              </w:tc>
              <w:tc>
                <w:tcPr>
                  <w:tcW w:w="1125" w:type="dxa"/>
                  <w:vAlign w:val="center"/>
                </w:tcPr>
                <w:p>
                  <w:pPr>
                    <w:tabs>
                      <w:tab w:val="left" w:pos="426"/>
                    </w:tabs>
                    <w:jc w:val="center"/>
                    <w:rPr>
                      <w:b/>
                      <w:bCs/>
                      <w:color w:val="000000"/>
                      <w:sz w:val="21"/>
                      <w:szCs w:val="21"/>
                    </w:rPr>
                  </w:pPr>
                  <w:r>
                    <w:rPr>
                      <w:b/>
                      <w:bCs/>
                      <w:color w:val="000000"/>
                      <w:sz w:val="21"/>
                      <w:szCs w:val="21"/>
                    </w:rPr>
                    <w:t>声环境功能区</w:t>
                  </w:r>
                </w:p>
              </w:tc>
              <w:tc>
                <w:tcPr>
                  <w:tcW w:w="1481" w:type="dxa"/>
                  <w:vAlign w:val="center"/>
                </w:tcPr>
                <w:p>
                  <w:pPr>
                    <w:tabs>
                      <w:tab w:val="left" w:pos="426"/>
                    </w:tabs>
                    <w:jc w:val="center"/>
                    <w:rPr>
                      <w:b/>
                      <w:bCs/>
                      <w:color w:val="000000"/>
                      <w:sz w:val="21"/>
                      <w:szCs w:val="21"/>
                    </w:rPr>
                  </w:pPr>
                  <w:r>
                    <w:rPr>
                      <w:b/>
                      <w:bCs/>
                      <w:color w:val="000000"/>
                      <w:sz w:val="21"/>
                      <w:szCs w:val="21"/>
                    </w:rPr>
                    <w:t>敏感目标噪声级增量</w:t>
                  </w:r>
                </w:p>
              </w:tc>
              <w:tc>
                <w:tcPr>
                  <w:tcW w:w="1777" w:type="dxa"/>
                  <w:vAlign w:val="center"/>
                </w:tcPr>
                <w:p>
                  <w:pPr>
                    <w:tabs>
                      <w:tab w:val="left" w:pos="426"/>
                    </w:tabs>
                    <w:jc w:val="center"/>
                    <w:rPr>
                      <w:b/>
                      <w:bCs/>
                      <w:color w:val="000000"/>
                      <w:sz w:val="21"/>
                      <w:szCs w:val="21"/>
                    </w:rPr>
                  </w:pPr>
                  <w:r>
                    <w:rPr>
                      <w:b/>
                      <w:bCs/>
                      <w:color w:val="000000"/>
                      <w:sz w:val="21"/>
                      <w:szCs w:val="21"/>
                    </w:rPr>
                    <w:t>受噪声影响范围内的人口数量</w:t>
                  </w:r>
                </w:p>
              </w:tc>
              <w:tc>
                <w:tcPr>
                  <w:tcW w:w="3062" w:type="dxa"/>
                  <w:vAlign w:val="center"/>
                </w:tcPr>
                <w:p>
                  <w:pPr>
                    <w:tabs>
                      <w:tab w:val="left" w:pos="426"/>
                    </w:tabs>
                    <w:jc w:val="center"/>
                    <w:rPr>
                      <w:b/>
                      <w:bCs/>
                      <w:color w:val="000000"/>
                      <w:sz w:val="21"/>
                      <w:szCs w:val="21"/>
                    </w:rPr>
                  </w:pPr>
                  <w:r>
                    <w:rPr>
                      <w:b/>
                      <w:bCs/>
                      <w:color w:val="000000"/>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一级评价</w:t>
                  </w:r>
                </w:p>
              </w:tc>
              <w:tc>
                <w:tcPr>
                  <w:tcW w:w="1125" w:type="dxa"/>
                  <w:vAlign w:val="center"/>
                </w:tcPr>
                <w:p>
                  <w:pPr>
                    <w:tabs>
                      <w:tab w:val="left" w:pos="426"/>
                    </w:tabs>
                    <w:jc w:val="center"/>
                    <w:rPr>
                      <w:bCs/>
                      <w:color w:val="000000"/>
                      <w:sz w:val="21"/>
                      <w:szCs w:val="21"/>
                    </w:rPr>
                  </w:pPr>
                  <w:r>
                    <w:rPr>
                      <w:bCs/>
                      <w:color w:val="000000"/>
                      <w:sz w:val="21"/>
                      <w:szCs w:val="21"/>
                    </w:rPr>
                    <w:t>0类及以上</w:t>
                  </w:r>
                </w:p>
              </w:tc>
              <w:tc>
                <w:tcPr>
                  <w:tcW w:w="1481" w:type="dxa"/>
                  <w:vAlign w:val="center"/>
                </w:tcPr>
                <w:p>
                  <w:pPr>
                    <w:tabs>
                      <w:tab w:val="left" w:pos="426"/>
                    </w:tabs>
                    <w:jc w:val="center"/>
                    <w:rPr>
                      <w:bCs/>
                      <w:color w:val="000000"/>
                      <w:sz w:val="21"/>
                      <w:szCs w:val="21"/>
                    </w:rPr>
                  </w:pPr>
                  <w:r>
                    <w:rPr>
                      <w:bCs/>
                      <w:color w:val="000000"/>
                      <w:sz w:val="21"/>
                      <w:szCs w:val="21"/>
                    </w:rPr>
                    <w:t>≥5dB（A）</w:t>
                  </w:r>
                </w:p>
              </w:tc>
              <w:tc>
                <w:tcPr>
                  <w:tcW w:w="1777" w:type="dxa"/>
                  <w:vAlign w:val="center"/>
                </w:tcPr>
                <w:p>
                  <w:pPr>
                    <w:tabs>
                      <w:tab w:val="left" w:pos="426"/>
                    </w:tabs>
                    <w:jc w:val="center"/>
                    <w:rPr>
                      <w:bCs/>
                      <w:color w:val="000000"/>
                      <w:sz w:val="21"/>
                      <w:szCs w:val="21"/>
                    </w:rPr>
                  </w:pPr>
                  <w:r>
                    <w:rPr>
                      <w:bCs/>
                      <w:color w:val="000000"/>
                      <w:sz w:val="21"/>
                      <w:szCs w:val="21"/>
                    </w:rPr>
                    <w:t>显著增多</w:t>
                  </w:r>
                </w:p>
              </w:tc>
              <w:tc>
                <w:tcPr>
                  <w:tcW w:w="3062" w:type="dxa"/>
                  <w:vMerge w:val="restart"/>
                  <w:vAlign w:val="center"/>
                </w:tcPr>
                <w:p>
                  <w:pPr>
                    <w:tabs>
                      <w:tab w:val="left" w:pos="426"/>
                    </w:tabs>
                    <w:rPr>
                      <w:bCs/>
                      <w:color w:val="000000"/>
                      <w:sz w:val="21"/>
                      <w:szCs w:val="21"/>
                    </w:rPr>
                  </w:pPr>
                  <w:r>
                    <w:rPr>
                      <w:bCs/>
                      <w:color w:val="000000"/>
                      <w:sz w:val="21"/>
                      <w:szCs w:val="21"/>
                    </w:rPr>
                    <w:t>1.判断项目建设后声级增高的具体地点为距该项目声源最近的敏感目标处。</w:t>
                  </w:r>
                </w:p>
                <w:p>
                  <w:pPr>
                    <w:tabs>
                      <w:tab w:val="left" w:pos="426"/>
                    </w:tabs>
                    <w:rPr>
                      <w:bCs/>
                      <w:color w:val="000000"/>
                      <w:sz w:val="21"/>
                      <w:szCs w:val="21"/>
                    </w:rPr>
                  </w:pPr>
                  <w:r>
                    <w:rPr>
                      <w:bCs/>
                      <w:color w:val="000000"/>
                      <w:sz w:val="21"/>
                      <w:szCs w:val="21"/>
                    </w:rPr>
                    <w:t>2.符合两个以上的划分原则时，按较高级别执行。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二级评价</w:t>
                  </w:r>
                </w:p>
              </w:tc>
              <w:tc>
                <w:tcPr>
                  <w:tcW w:w="1125" w:type="dxa"/>
                  <w:vAlign w:val="center"/>
                </w:tcPr>
                <w:p>
                  <w:pPr>
                    <w:tabs>
                      <w:tab w:val="left" w:pos="426"/>
                    </w:tabs>
                    <w:jc w:val="center"/>
                    <w:rPr>
                      <w:bCs/>
                      <w:color w:val="000000"/>
                      <w:sz w:val="21"/>
                      <w:szCs w:val="21"/>
                    </w:rPr>
                  </w:pPr>
                  <w:r>
                    <w:rPr>
                      <w:bCs/>
                      <w:color w:val="000000"/>
                      <w:sz w:val="21"/>
                      <w:szCs w:val="21"/>
                    </w:rPr>
                    <w:t>1类、2类</w:t>
                  </w:r>
                </w:p>
              </w:tc>
              <w:tc>
                <w:tcPr>
                  <w:tcW w:w="1481" w:type="dxa"/>
                  <w:vAlign w:val="center"/>
                </w:tcPr>
                <w:p>
                  <w:pPr>
                    <w:tabs>
                      <w:tab w:val="left" w:pos="426"/>
                    </w:tabs>
                    <w:jc w:val="center"/>
                    <w:rPr>
                      <w:bCs/>
                      <w:color w:val="000000"/>
                      <w:sz w:val="21"/>
                      <w:szCs w:val="21"/>
                    </w:rPr>
                  </w:pPr>
                  <w:r>
                    <w:rPr>
                      <w:bCs/>
                      <w:color w:val="000000"/>
                      <w:sz w:val="21"/>
                      <w:szCs w:val="21"/>
                    </w:rPr>
                    <w:t>3~5dB（A）</w:t>
                  </w:r>
                </w:p>
              </w:tc>
              <w:tc>
                <w:tcPr>
                  <w:tcW w:w="1777" w:type="dxa"/>
                  <w:vAlign w:val="center"/>
                </w:tcPr>
                <w:p>
                  <w:pPr>
                    <w:tabs>
                      <w:tab w:val="left" w:pos="426"/>
                    </w:tabs>
                    <w:jc w:val="center"/>
                    <w:rPr>
                      <w:bCs/>
                      <w:color w:val="000000"/>
                      <w:sz w:val="21"/>
                      <w:szCs w:val="21"/>
                    </w:rPr>
                  </w:pPr>
                  <w:r>
                    <w:rPr>
                      <w:bCs/>
                      <w:color w:val="000000"/>
                      <w:sz w:val="21"/>
                      <w:szCs w:val="21"/>
                    </w:rPr>
                    <w:t>增加较多</w:t>
                  </w:r>
                </w:p>
              </w:tc>
              <w:tc>
                <w:tcPr>
                  <w:tcW w:w="3062" w:type="dxa"/>
                  <w:vMerge w:val="continue"/>
                  <w:vAlign w:val="center"/>
                </w:tcPr>
                <w:p>
                  <w:pPr>
                    <w:tabs>
                      <w:tab w:val="left" w:pos="426"/>
                    </w:tabs>
                    <w:jc w:val="center"/>
                    <w:rPr>
                      <w:bCs/>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三级评价</w:t>
                  </w:r>
                </w:p>
              </w:tc>
              <w:tc>
                <w:tcPr>
                  <w:tcW w:w="1125" w:type="dxa"/>
                  <w:vAlign w:val="center"/>
                </w:tcPr>
                <w:p>
                  <w:pPr>
                    <w:tabs>
                      <w:tab w:val="left" w:pos="426"/>
                    </w:tabs>
                    <w:jc w:val="center"/>
                    <w:rPr>
                      <w:bCs/>
                      <w:color w:val="000000"/>
                      <w:sz w:val="21"/>
                      <w:szCs w:val="21"/>
                    </w:rPr>
                  </w:pPr>
                  <w:r>
                    <w:rPr>
                      <w:bCs/>
                      <w:color w:val="000000"/>
                      <w:sz w:val="21"/>
                      <w:szCs w:val="21"/>
                    </w:rPr>
                    <w:t>3类、4类</w:t>
                  </w:r>
                </w:p>
              </w:tc>
              <w:tc>
                <w:tcPr>
                  <w:tcW w:w="1481" w:type="dxa"/>
                  <w:vAlign w:val="center"/>
                </w:tcPr>
                <w:p>
                  <w:pPr>
                    <w:tabs>
                      <w:tab w:val="left" w:pos="426"/>
                    </w:tabs>
                    <w:jc w:val="center"/>
                    <w:rPr>
                      <w:bCs/>
                      <w:color w:val="000000"/>
                      <w:sz w:val="21"/>
                      <w:szCs w:val="21"/>
                    </w:rPr>
                  </w:pPr>
                  <w:r>
                    <w:rPr>
                      <w:bCs/>
                      <w:color w:val="000000"/>
                      <w:sz w:val="21"/>
                      <w:szCs w:val="21"/>
                    </w:rPr>
                    <w:t>≤3dB（A）</w:t>
                  </w:r>
                </w:p>
              </w:tc>
              <w:tc>
                <w:tcPr>
                  <w:tcW w:w="1777" w:type="dxa"/>
                  <w:vAlign w:val="center"/>
                </w:tcPr>
                <w:p>
                  <w:pPr>
                    <w:tabs>
                      <w:tab w:val="left" w:pos="426"/>
                    </w:tabs>
                    <w:jc w:val="center"/>
                    <w:rPr>
                      <w:bCs/>
                      <w:color w:val="000000"/>
                      <w:sz w:val="21"/>
                      <w:szCs w:val="21"/>
                    </w:rPr>
                  </w:pPr>
                  <w:r>
                    <w:rPr>
                      <w:bCs/>
                      <w:color w:val="000000"/>
                      <w:sz w:val="21"/>
                      <w:szCs w:val="21"/>
                    </w:rPr>
                    <w:t>变化不大</w:t>
                  </w:r>
                </w:p>
              </w:tc>
              <w:tc>
                <w:tcPr>
                  <w:tcW w:w="3062" w:type="dxa"/>
                  <w:vMerge w:val="continue"/>
                  <w:vAlign w:val="center"/>
                </w:tcPr>
                <w:p>
                  <w:pPr>
                    <w:tabs>
                      <w:tab w:val="left" w:pos="426"/>
                    </w:tabs>
                    <w:jc w:val="center"/>
                    <w:rPr>
                      <w:bCs/>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本项目</w:t>
                  </w:r>
                </w:p>
              </w:tc>
              <w:tc>
                <w:tcPr>
                  <w:tcW w:w="1125" w:type="dxa"/>
                  <w:vAlign w:val="center"/>
                </w:tcPr>
                <w:p>
                  <w:pPr>
                    <w:tabs>
                      <w:tab w:val="left" w:pos="426"/>
                    </w:tabs>
                    <w:jc w:val="center"/>
                    <w:rPr>
                      <w:bCs/>
                      <w:color w:val="000000"/>
                      <w:sz w:val="21"/>
                      <w:szCs w:val="21"/>
                    </w:rPr>
                  </w:pPr>
                  <w:r>
                    <w:rPr>
                      <w:rFonts w:hint="eastAsia"/>
                      <w:bCs/>
                      <w:color w:val="000000"/>
                      <w:sz w:val="21"/>
                      <w:szCs w:val="21"/>
                    </w:rPr>
                    <w:t>2</w:t>
                  </w:r>
                  <w:r>
                    <w:rPr>
                      <w:bCs/>
                      <w:color w:val="000000"/>
                      <w:sz w:val="21"/>
                      <w:szCs w:val="21"/>
                    </w:rPr>
                    <w:t>类</w:t>
                  </w:r>
                </w:p>
              </w:tc>
              <w:tc>
                <w:tcPr>
                  <w:tcW w:w="1481" w:type="dxa"/>
                  <w:vAlign w:val="center"/>
                </w:tcPr>
                <w:p>
                  <w:pPr>
                    <w:tabs>
                      <w:tab w:val="left" w:pos="426"/>
                    </w:tabs>
                    <w:jc w:val="center"/>
                    <w:rPr>
                      <w:bCs/>
                      <w:color w:val="000000"/>
                      <w:sz w:val="21"/>
                      <w:szCs w:val="21"/>
                    </w:rPr>
                  </w:pPr>
                  <w:r>
                    <w:rPr>
                      <w:bCs/>
                      <w:color w:val="000000"/>
                      <w:sz w:val="21"/>
                      <w:szCs w:val="21"/>
                    </w:rPr>
                    <w:t>＜3dB（A）</w:t>
                  </w:r>
                </w:p>
              </w:tc>
              <w:tc>
                <w:tcPr>
                  <w:tcW w:w="1777" w:type="dxa"/>
                  <w:vAlign w:val="center"/>
                </w:tcPr>
                <w:p>
                  <w:pPr>
                    <w:tabs>
                      <w:tab w:val="left" w:pos="426"/>
                    </w:tabs>
                    <w:jc w:val="center"/>
                    <w:rPr>
                      <w:bCs/>
                      <w:color w:val="000000"/>
                      <w:sz w:val="21"/>
                      <w:szCs w:val="21"/>
                    </w:rPr>
                  </w:pPr>
                  <w:r>
                    <w:rPr>
                      <w:bCs/>
                      <w:color w:val="000000"/>
                      <w:sz w:val="21"/>
                      <w:szCs w:val="21"/>
                    </w:rPr>
                    <w:t>变化不大</w:t>
                  </w:r>
                </w:p>
              </w:tc>
              <w:tc>
                <w:tcPr>
                  <w:tcW w:w="3062" w:type="dxa"/>
                  <w:vAlign w:val="center"/>
                </w:tcPr>
                <w:p>
                  <w:pPr>
                    <w:tabs>
                      <w:tab w:val="left" w:pos="426"/>
                    </w:tabs>
                    <w:jc w:val="center"/>
                    <w:rPr>
                      <w:bCs/>
                      <w:color w:val="000000"/>
                      <w:sz w:val="21"/>
                      <w:szCs w:val="21"/>
                    </w:rPr>
                  </w:pPr>
                  <w:r>
                    <w:rPr>
                      <w:bCs/>
                      <w:color w:val="000000"/>
                      <w:sz w:val="21"/>
                      <w:szCs w:val="21"/>
                    </w:rPr>
                    <w:t>确定为</w:t>
                  </w:r>
                  <w:r>
                    <w:rPr>
                      <w:rFonts w:hint="eastAsia"/>
                      <w:bCs/>
                      <w:color w:val="000000"/>
                      <w:sz w:val="21"/>
                      <w:szCs w:val="21"/>
                    </w:rPr>
                    <w:t>二</w:t>
                  </w:r>
                  <w:r>
                    <w:rPr>
                      <w:bCs/>
                      <w:color w:val="000000"/>
                      <w:sz w:val="21"/>
                      <w:szCs w:val="21"/>
                    </w:rPr>
                    <w:t>级评价</w:t>
                  </w:r>
                </w:p>
              </w:tc>
            </w:tr>
          </w:tbl>
          <w:p>
            <w:pPr>
              <w:pStyle w:val="17"/>
              <w:adjustRightInd w:val="0"/>
              <w:snapToGrid w:val="0"/>
              <w:spacing w:beforeLines="50" w:line="360" w:lineRule="auto"/>
              <w:ind w:firstLine="480" w:firstLineChars="200"/>
              <w:rPr>
                <w:rFonts w:ascii="Times New Roman" w:hAnsi="Times New Roman"/>
                <w:bCs/>
              </w:rPr>
            </w:pPr>
            <w:r>
              <w:rPr>
                <w:rFonts w:hint="eastAsia" w:ascii="Times New Roman" w:hAnsi="Times New Roman"/>
                <w:bCs/>
              </w:rPr>
              <w:t>根据《环境影响评价技术导则 声环境》（HJ2.4-2009）6.3.3噪声预测应覆盖全部敏感目标，给出各敏感目标的预测值及厂界（或场界、边界）噪声值。因此，本项目主要对厂界及敏感目标处的噪声进行预测评价。</w:t>
            </w:r>
          </w:p>
          <w:p>
            <w:pPr>
              <w:pStyle w:val="17"/>
              <w:adjustRightInd w:val="0"/>
              <w:snapToGrid w:val="0"/>
              <w:spacing w:line="360" w:lineRule="auto"/>
              <w:ind w:firstLine="482" w:firstLineChars="200"/>
              <w:rPr>
                <w:rFonts w:ascii="Times New Roman" w:hAnsi="Times New Roman"/>
                <w:b/>
              </w:rPr>
            </w:pPr>
            <w:r>
              <w:rPr>
                <w:rFonts w:hint="eastAsia" w:ascii="Times New Roman" w:hAnsi="Times New Roman"/>
                <w:b/>
              </w:rPr>
              <w:t xml:space="preserve">（1）预测模式的选取 </w:t>
            </w:r>
          </w:p>
          <w:p>
            <w:pPr>
              <w:pStyle w:val="17"/>
              <w:adjustRightInd w:val="0"/>
              <w:snapToGrid w:val="0"/>
              <w:spacing w:line="360" w:lineRule="auto"/>
              <w:ind w:firstLine="480" w:firstLineChars="200"/>
              <w:rPr>
                <w:rFonts w:ascii="Times New Roman" w:hAnsi="Times New Roman"/>
                <w:bCs/>
              </w:rPr>
            </w:pPr>
            <w:r>
              <w:rPr>
                <w:rFonts w:hint="eastAsia" w:ascii="Times New Roman" w:hAnsi="Times New Roman"/>
                <w:bCs/>
              </w:rPr>
              <w:t>依据《环境影响评价技术导则—声环境》（HJ2.4－2009），根据噪声衰减规律对各声源在厂界外各预测点的贡献值进行预测。</w:t>
            </w:r>
          </w:p>
          <w:p>
            <w:pPr>
              <w:adjustRightInd w:val="0"/>
              <w:snapToGrid w:val="0"/>
              <w:spacing w:line="360" w:lineRule="auto"/>
              <w:ind w:firstLine="480" w:firstLineChars="200"/>
            </w:pPr>
            <w:r>
              <w:rPr>
                <w:rFonts w:hint="eastAsia"/>
              </w:rPr>
              <w:t>①点声源随传播距离增加引起的衰减公式如下：</w:t>
            </w:r>
          </w:p>
          <w:p>
            <w:pPr>
              <w:adjustRightInd w:val="0"/>
              <w:snapToGrid w:val="0"/>
              <w:spacing w:line="360" w:lineRule="auto"/>
              <w:ind w:firstLine="1200" w:firstLineChars="500"/>
            </w:pPr>
            <w:r>
              <w:t>Lp=Lp</w:t>
            </w:r>
            <w:r>
              <w:rPr>
                <w:vertAlign w:val="subscript"/>
              </w:rPr>
              <w:t>0</w:t>
            </w:r>
            <w:r>
              <w:t>-201g(r/r</w:t>
            </w:r>
            <w:r>
              <w:rPr>
                <w:vertAlign w:val="subscript"/>
              </w:rPr>
              <w:t>0</w:t>
            </w:r>
            <w:r>
              <w:t>)</w:t>
            </w:r>
          </w:p>
          <w:p>
            <w:pPr>
              <w:adjustRightInd w:val="0"/>
              <w:snapToGrid w:val="0"/>
              <w:spacing w:line="360" w:lineRule="auto"/>
              <w:ind w:firstLine="480" w:firstLineChars="200"/>
            </w:pPr>
            <w:r>
              <w:rPr>
                <w:rFonts w:hint="eastAsia"/>
              </w:rPr>
              <w:t>式中：Lp——预测点r处的声级dB(A)；</w:t>
            </w:r>
          </w:p>
          <w:p>
            <w:pPr>
              <w:adjustRightInd w:val="0"/>
              <w:snapToGrid w:val="0"/>
              <w:spacing w:line="360" w:lineRule="auto"/>
              <w:ind w:firstLine="1200" w:firstLineChars="500"/>
            </w:pPr>
            <w:r>
              <w:rPr>
                <w:rFonts w:hint="eastAsia"/>
              </w:rPr>
              <w:t>Lp</w:t>
            </w:r>
            <w:r>
              <w:rPr>
                <w:rFonts w:hint="eastAsia"/>
                <w:vertAlign w:val="subscript"/>
              </w:rPr>
              <w:t>0</w:t>
            </w:r>
            <w:r>
              <w:rPr>
                <w:rFonts w:hint="eastAsia"/>
              </w:rPr>
              <w:t>——参考位置r</w:t>
            </w:r>
            <w:r>
              <w:rPr>
                <w:rFonts w:hint="eastAsia"/>
                <w:vertAlign w:val="subscript"/>
              </w:rPr>
              <w:t>0</w:t>
            </w:r>
            <w:r>
              <w:rPr>
                <w:rFonts w:hint="eastAsia"/>
              </w:rPr>
              <w:t>处的声级dB(A)；</w:t>
            </w:r>
          </w:p>
          <w:p>
            <w:pPr>
              <w:adjustRightInd w:val="0"/>
              <w:snapToGrid w:val="0"/>
              <w:spacing w:line="360" w:lineRule="auto"/>
              <w:ind w:firstLine="1200" w:firstLineChars="500"/>
            </w:pPr>
            <w:r>
              <w:rPr>
                <w:rFonts w:hint="eastAsia"/>
              </w:rPr>
              <w:t>r——预测点与点声源之间的距离（m）；</w:t>
            </w:r>
          </w:p>
          <w:p>
            <w:pPr>
              <w:adjustRightInd w:val="0"/>
              <w:snapToGrid w:val="0"/>
              <w:spacing w:line="360" w:lineRule="auto"/>
              <w:ind w:firstLine="1200" w:firstLineChars="500"/>
            </w:pPr>
            <w:r>
              <w:rPr>
                <w:rFonts w:hint="eastAsia"/>
              </w:rPr>
              <w:t>r</w:t>
            </w:r>
            <w:r>
              <w:rPr>
                <w:rFonts w:hint="eastAsia"/>
                <w:vertAlign w:val="subscript"/>
              </w:rPr>
              <w:t>0</w:t>
            </w:r>
            <w:r>
              <w:rPr>
                <w:rFonts w:hint="eastAsia"/>
              </w:rPr>
              <w:t>——参考声级处与点声源之间的距离（m）。</w:t>
            </w:r>
          </w:p>
          <w:p>
            <w:pPr>
              <w:adjustRightInd w:val="0"/>
              <w:snapToGrid w:val="0"/>
              <w:spacing w:line="360" w:lineRule="auto"/>
              <w:ind w:firstLine="480" w:firstLineChars="200"/>
            </w:pPr>
            <w:r>
              <w:rPr>
                <w:rFonts w:hint="eastAsia"/>
              </w:rPr>
              <w:t>②多声源共同叠加作用的等效声级Leq为：</w:t>
            </w:r>
          </w:p>
          <w:p>
            <w:pPr>
              <w:jc w:val="center"/>
              <w:rPr>
                <w:szCs w:val="21"/>
              </w:rPr>
            </w:pPr>
            <w:r>
              <w:rPr>
                <w:szCs w:val="21"/>
              </w:rPr>
              <w:drawing>
                <wp:inline distT="0" distB="0" distL="0" distR="0">
                  <wp:extent cx="1762125" cy="523875"/>
                  <wp:effectExtent l="19050" t="0" r="9525" b="0"/>
                  <wp:docPr id="15" name="图片 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捕获"/>
                          <pic:cNvPicPr>
                            <a:picLocks noChangeAspect="1" noChangeArrowheads="1"/>
                          </pic:cNvPicPr>
                        </pic:nvPicPr>
                        <pic:blipFill>
                          <a:blip r:embed="rId28" cstate="print"/>
                          <a:srcRect/>
                          <a:stretch>
                            <a:fillRect/>
                          </a:stretch>
                        </pic:blipFill>
                        <pic:spPr>
                          <a:xfrm>
                            <a:off x="0" y="0"/>
                            <a:ext cx="1762125" cy="523875"/>
                          </a:xfrm>
                          <a:prstGeom prst="rect">
                            <a:avLst/>
                          </a:prstGeom>
                          <a:noFill/>
                          <a:ln w="9525">
                            <a:noFill/>
                            <a:miter lim="800000"/>
                            <a:headEnd/>
                            <a:tailEnd/>
                          </a:ln>
                          <a:effectLst/>
                        </pic:spPr>
                      </pic:pic>
                    </a:graphicData>
                  </a:graphic>
                </wp:inline>
              </w:drawing>
            </w:r>
          </w:p>
          <w:p>
            <w:pPr>
              <w:spacing w:line="360" w:lineRule="auto"/>
              <w:ind w:firstLine="480" w:firstLineChars="200"/>
            </w:pPr>
            <w:r>
              <w:rPr>
                <w:rFonts w:hint="eastAsia"/>
              </w:rPr>
              <w:t>式中：Leq——N个噪声源在同一受声点上的合成声压级dB(A)；</w:t>
            </w:r>
          </w:p>
          <w:p>
            <w:pPr>
              <w:spacing w:line="360" w:lineRule="auto"/>
              <w:ind w:firstLine="1200" w:firstLineChars="500"/>
              <w:rPr>
                <w:b/>
                <w:szCs w:val="21"/>
              </w:rPr>
            </w:pPr>
            <w:r>
              <w:rPr>
                <w:rFonts w:hint="eastAsia"/>
              </w:rPr>
              <w:t>L</w:t>
            </w:r>
            <w:r>
              <w:rPr>
                <w:rFonts w:hint="eastAsia"/>
                <w:vertAlign w:val="subscript"/>
              </w:rPr>
              <w:t>eqi</w:t>
            </w:r>
            <w:r>
              <w:rPr>
                <w:rFonts w:hint="eastAsia"/>
              </w:rPr>
              <w:t>——第i个噪声源在受声点的声压级dB(A)。</w:t>
            </w:r>
          </w:p>
          <w:p>
            <w:pPr>
              <w:spacing w:line="360" w:lineRule="auto"/>
              <w:ind w:firstLine="482" w:firstLineChars="200"/>
              <w:rPr>
                <w:b/>
                <w:bCs/>
              </w:rPr>
            </w:pPr>
            <w:r>
              <w:rPr>
                <w:rFonts w:hint="eastAsia"/>
                <w:b/>
                <w:bCs/>
              </w:rPr>
              <w:t>（2）厂界噪声及敏感点噪声预测结果及分析</w:t>
            </w:r>
          </w:p>
          <w:p>
            <w:pPr>
              <w:pStyle w:val="17"/>
              <w:spacing w:line="360" w:lineRule="auto"/>
              <w:ind w:firstLine="480"/>
              <w:rPr>
                <w:rFonts w:ascii="Times New Roman" w:hAnsi="Times New Roman"/>
                <w:bCs/>
              </w:rPr>
            </w:pPr>
            <w:r>
              <w:rPr>
                <w:rFonts w:hint="eastAsia"/>
              </w:rPr>
              <w:t>项目各噪声源与厂界的相对位置如下表所示：</w:t>
            </w:r>
          </w:p>
          <w:p>
            <w:pPr>
              <w:pStyle w:val="36"/>
              <w:spacing w:after="0" w:line="360" w:lineRule="auto"/>
              <w:ind w:firstLine="0" w:firstLineChars="0"/>
              <w:jc w:val="center"/>
              <w:rPr>
                <w:b/>
                <w:color w:val="000000"/>
              </w:rPr>
            </w:pPr>
            <w:r>
              <w:rPr>
                <w:b/>
                <w:color w:val="000000"/>
              </w:rPr>
              <w:t>表</w:t>
            </w:r>
            <w:r>
              <w:rPr>
                <w:rFonts w:hint="eastAsia"/>
                <w:b/>
                <w:color w:val="000000"/>
              </w:rPr>
              <w:t>7-18</w:t>
            </w:r>
            <w:r>
              <w:rPr>
                <w:b/>
                <w:color w:val="000000"/>
              </w:rPr>
              <w:t xml:space="preserve">  </w:t>
            </w:r>
            <w:r>
              <w:rPr>
                <w:rFonts w:hint="eastAsia"/>
                <w:b/>
                <w:color w:val="000000"/>
              </w:rPr>
              <w:t>项目主要</w:t>
            </w:r>
            <w:r>
              <w:rPr>
                <w:b/>
                <w:color w:val="000000"/>
              </w:rPr>
              <w:t>噪声源强</w:t>
            </w:r>
            <w:r>
              <w:rPr>
                <w:rFonts w:hint="eastAsia"/>
                <w:b/>
                <w:color w:val="000000"/>
              </w:rPr>
              <w:t>及治理措施</w:t>
            </w:r>
            <w:r>
              <w:rPr>
                <w:b/>
                <w:color w:val="000000"/>
              </w:rPr>
              <w:t>一览表</w:t>
            </w:r>
            <w:r>
              <w:rPr>
                <w:rFonts w:hint="eastAsia"/>
                <w:b/>
                <w:color w:val="000000"/>
              </w:rPr>
              <w:t xml:space="preserve">  单</w:t>
            </w:r>
            <w:r>
              <w:rPr>
                <w:b/>
                <w:color w:val="000000"/>
              </w:rPr>
              <w:t>位：dB(A)</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517"/>
              <w:gridCol w:w="1828"/>
              <w:gridCol w:w="909"/>
              <w:gridCol w:w="1190"/>
              <w:gridCol w:w="116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06" w:type="dxa"/>
                  <w:vAlign w:val="center"/>
                </w:tcPr>
                <w:p>
                  <w:pPr>
                    <w:pStyle w:val="89"/>
                    <w:spacing w:line="240" w:lineRule="auto"/>
                    <w:rPr>
                      <w:rFonts w:ascii="Times New Roman" w:hAnsi="Times New Roman"/>
                      <w:color w:val="000000"/>
                      <w:kern w:val="2"/>
                      <w:szCs w:val="21"/>
                    </w:rPr>
                  </w:pPr>
                  <w:r>
                    <w:rPr>
                      <w:rFonts w:ascii="Times New Roman" w:hAnsi="Times New Roman"/>
                      <w:color w:val="000000"/>
                      <w:kern w:val="2"/>
                      <w:szCs w:val="21"/>
                    </w:rPr>
                    <w:t>噪声源位置</w:t>
                  </w:r>
                </w:p>
              </w:tc>
              <w:tc>
                <w:tcPr>
                  <w:tcW w:w="1517" w:type="dxa"/>
                  <w:vAlign w:val="center"/>
                </w:tcPr>
                <w:p>
                  <w:pPr>
                    <w:pStyle w:val="89"/>
                    <w:spacing w:line="240" w:lineRule="auto"/>
                    <w:rPr>
                      <w:rFonts w:ascii="Times New Roman" w:hAnsi="Times New Roman"/>
                      <w:color w:val="000000"/>
                      <w:kern w:val="2"/>
                      <w:szCs w:val="21"/>
                    </w:rPr>
                  </w:pPr>
                  <w:r>
                    <w:rPr>
                      <w:rFonts w:ascii="Times New Roman" w:hAnsi="Times New Roman"/>
                      <w:color w:val="000000"/>
                      <w:kern w:val="2"/>
                      <w:szCs w:val="21"/>
                    </w:rPr>
                    <w:t>噪声源</w:t>
                  </w:r>
                </w:p>
              </w:tc>
              <w:tc>
                <w:tcPr>
                  <w:tcW w:w="1828" w:type="dxa"/>
                  <w:vAlign w:val="center"/>
                </w:tcPr>
                <w:p>
                  <w:pPr>
                    <w:pStyle w:val="89"/>
                    <w:spacing w:line="240" w:lineRule="auto"/>
                    <w:rPr>
                      <w:rFonts w:ascii="Times New Roman" w:hAnsi="Times New Roman"/>
                      <w:color w:val="000000"/>
                      <w:kern w:val="2"/>
                      <w:szCs w:val="21"/>
                    </w:rPr>
                  </w:pPr>
                  <w:r>
                    <w:rPr>
                      <w:rFonts w:ascii="Times New Roman" w:hAnsi="Times New Roman"/>
                      <w:bCs/>
                      <w:color w:val="000000"/>
                      <w:szCs w:val="21"/>
                    </w:rPr>
                    <w:t>设备数量（台）</w:t>
                  </w:r>
                </w:p>
              </w:tc>
              <w:tc>
                <w:tcPr>
                  <w:tcW w:w="909" w:type="dxa"/>
                  <w:vAlign w:val="center"/>
                </w:tcPr>
                <w:p>
                  <w:pPr>
                    <w:pStyle w:val="89"/>
                    <w:spacing w:line="240" w:lineRule="auto"/>
                    <w:rPr>
                      <w:color w:val="000000"/>
                    </w:rPr>
                  </w:pPr>
                  <w:r>
                    <w:rPr>
                      <w:rFonts w:hint="eastAsia" w:ascii="Times New Roman" w:hAnsi="Times New Roman"/>
                      <w:color w:val="000000"/>
                      <w:kern w:val="2"/>
                      <w:szCs w:val="21"/>
                    </w:rPr>
                    <w:t>源强</w:t>
                  </w:r>
                </w:p>
              </w:tc>
              <w:tc>
                <w:tcPr>
                  <w:tcW w:w="1190" w:type="dxa"/>
                  <w:vAlign w:val="center"/>
                </w:tcPr>
                <w:p>
                  <w:pPr>
                    <w:pStyle w:val="89"/>
                    <w:spacing w:line="240" w:lineRule="auto"/>
                    <w:rPr>
                      <w:rFonts w:ascii="Times New Roman" w:hAnsi="Times New Roman"/>
                      <w:color w:val="000000"/>
                      <w:kern w:val="2"/>
                      <w:szCs w:val="21"/>
                    </w:rPr>
                  </w:pPr>
                  <w:r>
                    <w:rPr>
                      <w:rFonts w:hint="eastAsia" w:ascii="Times New Roman" w:hAnsi="Times New Roman"/>
                      <w:color w:val="000000"/>
                      <w:kern w:val="2"/>
                      <w:szCs w:val="21"/>
                    </w:rPr>
                    <w:t>治理措施</w:t>
                  </w:r>
                </w:p>
              </w:tc>
              <w:tc>
                <w:tcPr>
                  <w:tcW w:w="1163" w:type="dxa"/>
                  <w:vAlign w:val="center"/>
                </w:tcPr>
                <w:p>
                  <w:pPr>
                    <w:pStyle w:val="89"/>
                    <w:spacing w:line="240" w:lineRule="auto"/>
                    <w:rPr>
                      <w:rFonts w:ascii="Times New Roman" w:hAnsi="Times New Roman"/>
                      <w:color w:val="000000"/>
                      <w:kern w:val="2"/>
                      <w:szCs w:val="21"/>
                    </w:rPr>
                  </w:pPr>
                  <w:r>
                    <w:rPr>
                      <w:rFonts w:hint="eastAsia" w:ascii="Times New Roman" w:hAnsi="Times New Roman"/>
                      <w:color w:val="000000"/>
                      <w:kern w:val="2"/>
                      <w:szCs w:val="21"/>
                    </w:rPr>
                    <w:t>降噪后</w:t>
                  </w:r>
                </w:p>
              </w:tc>
              <w:tc>
                <w:tcPr>
                  <w:tcW w:w="1011" w:type="dxa"/>
                  <w:vAlign w:val="center"/>
                </w:tcPr>
                <w:p>
                  <w:pPr>
                    <w:pStyle w:val="89"/>
                    <w:spacing w:line="240" w:lineRule="auto"/>
                    <w:rPr>
                      <w:rFonts w:ascii="Times New Roman" w:hAnsi="Times New Roman"/>
                      <w:color w:val="000000"/>
                      <w:kern w:val="2"/>
                      <w:szCs w:val="21"/>
                    </w:rPr>
                  </w:pPr>
                  <w:r>
                    <w:rPr>
                      <w:rFonts w:hint="eastAsia" w:ascii="Times New Roman" w:hAnsi="Times New Roman"/>
                      <w:color w:val="000000"/>
                      <w:kern w:val="2"/>
                      <w:szCs w:val="21"/>
                    </w:rPr>
                    <w:t>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vAlign w:val="center"/>
                </w:tcPr>
                <w:p>
                  <w:pPr>
                    <w:jc w:val="center"/>
                    <w:rPr>
                      <w:sz w:val="21"/>
                      <w:szCs w:val="21"/>
                    </w:rPr>
                  </w:pPr>
                  <w:r>
                    <w:rPr>
                      <w:rFonts w:hint="eastAsia"/>
                      <w:sz w:val="21"/>
                      <w:szCs w:val="21"/>
                    </w:rPr>
                    <w:t>邓川污水厂</w:t>
                  </w:r>
                </w:p>
                <w:p>
                  <w:pPr>
                    <w:pStyle w:val="89"/>
                    <w:spacing w:line="240" w:lineRule="auto"/>
                    <w:rPr>
                      <w:rFonts w:ascii="Times New Roman" w:hAnsi="Times New Roman"/>
                      <w:b w:val="0"/>
                      <w:bCs/>
                      <w:color w:val="000000"/>
                      <w:kern w:val="2"/>
                      <w:szCs w:val="21"/>
                    </w:rPr>
                  </w:pPr>
                </w:p>
              </w:tc>
              <w:tc>
                <w:tcPr>
                  <w:tcW w:w="1517" w:type="dxa"/>
                  <w:vAlign w:val="center"/>
                </w:tcPr>
                <w:p>
                  <w:pPr>
                    <w:jc w:val="center"/>
                    <w:rPr>
                      <w:sz w:val="21"/>
                      <w:szCs w:val="21"/>
                    </w:rPr>
                  </w:pPr>
                  <w:r>
                    <w:rPr>
                      <w:rFonts w:hint="eastAsia"/>
                      <w:sz w:val="21"/>
                      <w:szCs w:val="21"/>
                    </w:rPr>
                    <w:t>一级提升泵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restart"/>
                  <w:vAlign w:val="center"/>
                </w:tcPr>
                <w:p>
                  <w:pPr>
                    <w:tabs>
                      <w:tab w:val="left" w:pos="0"/>
                      <w:tab w:val="left" w:pos="2089"/>
                    </w:tabs>
                    <w:jc w:val="center"/>
                    <w:rPr>
                      <w:color w:val="000000"/>
                      <w:sz w:val="21"/>
                      <w:szCs w:val="21"/>
                    </w:rPr>
                  </w:pPr>
                  <w:r>
                    <w:rPr>
                      <w:rFonts w:hint="eastAsia"/>
                      <w:color w:val="000000"/>
                      <w:sz w:val="21"/>
                      <w:szCs w:val="21"/>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二级提升泵</w:t>
                  </w:r>
                </w:p>
              </w:tc>
              <w:tc>
                <w:tcPr>
                  <w:tcW w:w="1828" w:type="dxa"/>
                  <w:vAlign w:val="center"/>
                </w:tcPr>
                <w:p>
                  <w:pPr>
                    <w:jc w:val="center"/>
                    <w:rPr>
                      <w:sz w:val="21"/>
                      <w:szCs w:val="21"/>
                    </w:rPr>
                  </w:pPr>
                  <w:r>
                    <w:rPr>
                      <w:sz w:val="21"/>
                      <w:szCs w:val="21"/>
                    </w:rPr>
                    <w:t>2（1用1备）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污泥回流泵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75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鼓风机</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脱水机</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80</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70</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bCs/>
                      <w:szCs w:val="21"/>
                    </w:rPr>
                    <w:t>右所污水厂</w:t>
                  </w:r>
                </w:p>
              </w:tc>
              <w:tc>
                <w:tcPr>
                  <w:tcW w:w="1517" w:type="dxa"/>
                  <w:vAlign w:val="center"/>
                </w:tcPr>
                <w:p>
                  <w:pPr>
                    <w:jc w:val="center"/>
                    <w:rPr>
                      <w:sz w:val="21"/>
                      <w:szCs w:val="21"/>
                    </w:rPr>
                  </w:pPr>
                  <w:r>
                    <w:rPr>
                      <w:rFonts w:hint="eastAsia"/>
                      <w:sz w:val="21"/>
                      <w:szCs w:val="21"/>
                    </w:rPr>
                    <w:t>潜污泵</w:t>
                  </w:r>
                </w:p>
              </w:tc>
              <w:tc>
                <w:tcPr>
                  <w:tcW w:w="1828" w:type="dxa"/>
                  <w:vAlign w:val="center"/>
                </w:tcPr>
                <w:p>
                  <w:pPr>
                    <w:jc w:val="center"/>
                    <w:rPr>
                      <w:sz w:val="21"/>
                      <w:szCs w:val="21"/>
                    </w:rPr>
                  </w:pPr>
                  <w:r>
                    <w:rPr>
                      <w:rFonts w:hint="eastAsia"/>
                      <w:sz w:val="21"/>
                      <w:szCs w:val="21"/>
                    </w:rPr>
                    <w:t>2</w:t>
                  </w:r>
                  <w:r>
                    <w:rPr>
                      <w:sz w:val="21"/>
                      <w:szCs w:val="21"/>
                    </w:rPr>
                    <w:t>（1用1备）</w:t>
                  </w:r>
                </w:p>
              </w:tc>
              <w:tc>
                <w:tcPr>
                  <w:tcW w:w="909" w:type="dxa"/>
                  <w:vAlign w:val="center"/>
                </w:tcPr>
                <w:p>
                  <w:pPr>
                    <w:jc w:val="center"/>
                    <w:rPr>
                      <w:sz w:val="21"/>
                      <w:szCs w:val="21"/>
                    </w:rPr>
                  </w:pPr>
                  <w:r>
                    <w:rPr>
                      <w:rFonts w:hint="eastAsia"/>
                      <w:sz w:val="21"/>
                      <w:szCs w:val="21"/>
                    </w:rPr>
                    <w:t>80</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70</w:t>
                  </w:r>
                </w:p>
              </w:tc>
              <w:tc>
                <w:tcPr>
                  <w:tcW w:w="1011" w:type="dxa"/>
                  <w:vMerge w:val="restart"/>
                  <w:vAlign w:val="center"/>
                </w:tcPr>
                <w:p>
                  <w:pPr>
                    <w:tabs>
                      <w:tab w:val="left" w:pos="0"/>
                      <w:tab w:val="left" w:pos="2089"/>
                    </w:tabs>
                    <w:jc w:val="center"/>
                    <w:rPr>
                      <w:color w:val="000000"/>
                      <w:sz w:val="21"/>
                      <w:szCs w:val="21"/>
                    </w:rPr>
                  </w:pPr>
                  <w:r>
                    <w:rPr>
                      <w:rFonts w:hint="eastAsia"/>
                      <w:color w:val="000000"/>
                      <w:sz w:val="21"/>
                      <w:szCs w:val="21"/>
                    </w:rPr>
                    <w:t>77.47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jc w:val="center"/>
                    <w:rPr>
                      <w:sz w:val="21"/>
                      <w:szCs w:val="21"/>
                    </w:rPr>
                  </w:pPr>
                </w:p>
              </w:tc>
              <w:tc>
                <w:tcPr>
                  <w:tcW w:w="1517" w:type="dxa"/>
                  <w:vAlign w:val="center"/>
                </w:tcPr>
                <w:p>
                  <w:pPr>
                    <w:jc w:val="center"/>
                    <w:rPr>
                      <w:sz w:val="21"/>
                      <w:szCs w:val="21"/>
                    </w:rPr>
                  </w:pPr>
                  <w:r>
                    <w:rPr>
                      <w:sz w:val="21"/>
                      <w:szCs w:val="21"/>
                    </w:rPr>
                    <w:t>污泥回流泵</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用1备）</w:t>
                  </w:r>
                </w:p>
              </w:tc>
              <w:tc>
                <w:tcPr>
                  <w:tcW w:w="909" w:type="dxa"/>
                  <w:vAlign w:val="center"/>
                </w:tcPr>
                <w:p>
                  <w:pPr>
                    <w:jc w:val="center"/>
                    <w:rPr>
                      <w:sz w:val="21"/>
                      <w:szCs w:val="21"/>
                    </w:rPr>
                  </w:pPr>
                  <w:r>
                    <w:rPr>
                      <w:rFonts w:hint="eastAsia"/>
                      <w:sz w:val="21"/>
                      <w:szCs w:val="21"/>
                    </w:rPr>
                    <w:t>75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鼓风机</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脱水机</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80</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70</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vAlign w:val="center"/>
                </w:tcPr>
                <w:p>
                  <w:pPr>
                    <w:jc w:val="center"/>
                    <w:rPr>
                      <w:sz w:val="21"/>
                      <w:szCs w:val="21"/>
                    </w:rPr>
                  </w:pPr>
                  <w:r>
                    <w:rPr>
                      <w:rFonts w:hint="eastAsia"/>
                      <w:sz w:val="21"/>
                      <w:szCs w:val="21"/>
                    </w:rPr>
                    <w:t>牛街污水厂</w:t>
                  </w:r>
                </w:p>
              </w:tc>
              <w:tc>
                <w:tcPr>
                  <w:tcW w:w="1517" w:type="dxa"/>
                  <w:vAlign w:val="center"/>
                </w:tcPr>
                <w:p>
                  <w:pPr>
                    <w:jc w:val="center"/>
                    <w:rPr>
                      <w:sz w:val="21"/>
                      <w:szCs w:val="21"/>
                    </w:rPr>
                  </w:pPr>
                  <w:r>
                    <w:rPr>
                      <w:rFonts w:hint="eastAsia"/>
                      <w:sz w:val="21"/>
                      <w:szCs w:val="21"/>
                    </w:rPr>
                    <w:t>一级提升泵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85</w:t>
                  </w:r>
                </w:p>
              </w:tc>
              <w:tc>
                <w:tcPr>
                  <w:tcW w:w="1190" w:type="dxa"/>
                  <w:vMerge w:val="restart"/>
                  <w:vAlign w:val="center"/>
                </w:tcPr>
                <w:p>
                  <w:pPr>
                    <w:tabs>
                      <w:tab w:val="left" w:pos="0"/>
                      <w:tab w:val="left" w:pos="2089"/>
                    </w:tabs>
                    <w:jc w:val="center"/>
                    <w:rPr>
                      <w:color w:val="000000"/>
                      <w:sz w:val="21"/>
                      <w:szCs w:val="21"/>
                    </w:rPr>
                  </w:pPr>
                  <w:r>
                    <w:rPr>
                      <w:rFonts w:hint="eastAsia"/>
                      <w:color w:val="000000"/>
                      <w:sz w:val="21"/>
                      <w:szCs w:val="21"/>
                    </w:rPr>
                    <w:t>基础减震+封闭隔声系统</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restart"/>
                  <w:vAlign w:val="center"/>
                </w:tcPr>
                <w:p>
                  <w:pPr>
                    <w:tabs>
                      <w:tab w:val="left" w:pos="0"/>
                      <w:tab w:val="left" w:pos="2089"/>
                    </w:tabs>
                    <w:jc w:val="center"/>
                    <w:rPr>
                      <w:color w:val="000000"/>
                      <w:sz w:val="21"/>
                      <w:szCs w:val="21"/>
                    </w:rPr>
                  </w:pPr>
                  <w:r>
                    <w:rPr>
                      <w:rFonts w:hint="eastAsia"/>
                      <w:color w:val="000000"/>
                      <w:sz w:val="21"/>
                      <w:szCs w:val="21"/>
                    </w:rPr>
                    <w:t>71.02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二级提升泵</w:t>
                  </w:r>
                </w:p>
              </w:tc>
              <w:tc>
                <w:tcPr>
                  <w:tcW w:w="1828" w:type="dxa"/>
                  <w:vAlign w:val="center"/>
                </w:tcPr>
                <w:p>
                  <w:pPr>
                    <w:jc w:val="center"/>
                    <w:rPr>
                      <w:sz w:val="21"/>
                      <w:szCs w:val="21"/>
                    </w:rPr>
                  </w:pPr>
                  <w:r>
                    <w:rPr>
                      <w:sz w:val="21"/>
                      <w:szCs w:val="21"/>
                    </w:rPr>
                    <w:t>2（1用1备）</w:t>
                  </w:r>
                </w:p>
              </w:tc>
              <w:tc>
                <w:tcPr>
                  <w:tcW w:w="909" w:type="dxa"/>
                  <w:vAlign w:val="center"/>
                </w:tcPr>
                <w:p>
                  <w:pPr>
                    <w:jc w:val="center"/>
                    <w:rPr>
                      <w:sz w:val="21"/>
                      <w:szCs w:val="21"/>
                    </w:rPr>
                  </w:pPr>
                  <w:r>
                    <w:rPr>
                      <w:rFonts w:hint="eastAsia"/>
                      <w:sz w:val="21"/>
                      <w:szCs w:val="21"/>
                    </w:rPr>
                    <w:t>85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潜水排砂泵</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污泥回流泵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75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55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鼓风机</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909" w:type="dxa"/>
                  <w:vAlign w:val="center"/>
                </w:tcPr>
                <w:p>
                  <w:pPr>
                    <w:jc w:val="center"/>
                    <w:rPr>
                      <w:sz w:val="21"/>
                      <w:szCs w:val="21"/>
                    </w:rPr>
                  </w:pPr>
                  <w:r>
                    <w:rPr>
                      <w:rFonts w:hint="eastAsia"/>
                      <w:sz w:val="21"/>
                      <w:szCs w:val="21"/>
                    </w:rPr>
                    <w:t>85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脱水机</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80</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60</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4" w:type="dxa"/>
                  <w:gridSpan w:val="7"/>
                  <w:vAlign w:val="center"/>
                </w:tcPr>
                <w:p>
                  <w:pPr>
                    <w:tabs>
                      <w:tab w:val="left" w:pos="0"/>
                      <w:tab w:val="left" w:pos="2089"/>
                    </w:tabs>
                    <w:rPr>
                      <w:color w:val="000000"/>
                      <w:sz w:val="21"/>
                      <w:szCs w:val="21"/>
                    </w:rPr>
                  </w:pPr>
                  <w:r>
                    <w:rPr>
                      <w:rFonts w:eastAsia="黑体"/>
                      <w:color w:val="000000"/>
                      <w:sz w:val="18"/>
                      <w:szCs w:val="18"/>
                    </w:rPr>
                    <w:t>注：采取基础减震措施后，噪声级衰减1</w:t>
                  </w:r>
                  <w:r>
                    <w:rPr>
                      <w:rFonts w:hint="eastAsia" w:eastAsia="黑体"/>
                      <w:color w:val="000000"/>
                      <w:sz w:val="18"/>
                      <w:szCs w:val="18"/>
                    </w:rPr>
                    <w:t>0</w:t>
                  </w:r>
                  <w:r>
                    <w:rPr>
                      <w:rFonts w:eastAsia="黑体"/>
                      <w:color w:val="000000"/>
                      <w:sz w:val="18"/>
                      <w:szCs w:val="18"/>
                    </w:rPr>
                    <w:t>dB，采取基础减震+封闭隔声系统后，噪声级衰减2</w:t>
                  </w:r>
                  <w:r>
                    <w:rPr>
                      <w:rFonts w:hint="eastAsia" w:eastAsia="黑体"/>
                      <w:color w:val="000000"/>
                      <w:sz w:val="18"/>
                      <w:szCs w:val="18"/>
                    </w:rPr>
                    <w:t>0</w:t>
                  </w:r>
                  <w:r>
                    <w:rPr>
                      <w:rFonts w:eastAsia="黑体"/>
                      <w:color w:val="000000"/>
                      <w:sz w:val="18"/>
                      <w:szCs w:val="18"/>
                    </w:rPr>
                    <w:t>dB</w:t>
                  </w:r>
                </w:p>
              </w:tc>
            </w:tr>
          </w:tbl>
          <w:p>
            <w:pPr>
              <w:pStyle w:val="36"/>
              <w:adjustRightInd w:val="0"/>
              <w:snapToGrid w:val="0"/>
              <w:spacing w:beforeLines="50" w:after="0" w:line="360" w:lineRule="auto"/>
              <w:ind w:firstLine="2302" w:firstLineChars="1092"/>
              <w:rPr>
                <w:b/>
                <w:color w:val="000000"/>
              </w:rPr>
            </w:pPr>
            <w:r>
              <w:rPr>
                <w:b/>
                <w:color w:val="000000"/>
              </w:rPr>
              <w:t>表</w:t>
            </w:r>
            <w:r>
              <w:rPr>
                <w:rFonts w:hint="eastAsia"/>
                <w:b/>
                <w:color w:val="000000"/>
              </w:rPr>
              <w:t xml:space="preserve">7-19  </w:t>
            </w:r>
            <w:r>
              <w:rPr>
                <w:b/>
                <w:color w:val="000000"/>
              </w:rPr>
              <w:t>项目噪声预测结果</w:t>
            </w:r>
            <w:r>
              <w:rPr>
                <w:rFonts w:hint="eastAsia"/>
                <w:b/>
                <w:color w:val="000000"/>
              </w:rPr>
              <w:t>一览表  单</w:t>
            </w:r>
            <w:r>
              <w:rPr>
                <w:b/>
                <w:color w:val="000000"/>
              </w:rPr>
              <w:t>位：dB(A)</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079"/>
              <w:gridCol w:w="1196"/>
              <w:gridCol w:w="1732"/>
              <w:gridCol w:w="1255"/>
              <w:gridCol w:w="2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序号</w:t>
                  </w:r>
                </w:p>
              </w:tc>
              <w:tc>
                <w:tcPr>
                  <w:tcW w:w="2275" w:type="dxa"/>
                  <w:gridSpan w:val="2"/>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预测点</w:t>
                  </w:r>
                </w:p>
              </w:tc>
              <w:tc>
                <w:tcPr>
                  <w:tcW w:w="1732"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产噪设备与各厂界距离（m）</w:t>
                  </w:r>
                </w:p>
              </w:tc>
              <w:tc>
                <w:tcPr>
                  <w:tcW w:w="1255"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贡献值</w:t>
                  </w:r>
                </w:p>
              </w:tc>
              <w:tc>
                <w:tcPr>
                  <w:tcW w:w="2602"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w:t>
                  </w:r>
                </w:p>
              </w:tc>
              <w:tc>
                <w:tcPr>
                  <w:tcW w:w="1079" w:type="dxa"/>
                  <w:vMerge w:val="restart"/>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邓川污水厂</w:t>
                  </w: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东厂界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23</w:t>
                  </w:r>
                </w:p>
              </w:tc>
              <w:tc>
                <w:tcPr>
                  <w:tcW w:w="1255" w:type="dxa"/>
                  <w:vAlign w:val="center"/>
                </w:tcPr>
                <w:p>
                  <w:pPr>
                    <w:jc w:val="center"/>
                    <w:rPr>
                      <w:color w:val="000000"/>
                      <w:sz w:val="21"/>
                      <w:szCs w:val="21"/>
                    </w:rPr>
                  </w:pPr>
                  <w:r>
                    <w:rPr>
                      <w:rFonts w:hint="eastAsia"/>
                      <w:color w:val="000000"/>
                      <w:sz w:val="21"/>
                      <w:szCs w:val="21"/>
                    </w:rPr>
                    <w:t>45</w:t>
                  </w:r>
                  <w:r>
                    <w:rPr>
                      <w:color w:val="000000"/>
                      <w:sz w:val="21"/>
                      <w:szCs w:val="21"/>
                    </w:rPr>
                    <w:t>.03</w:t>
                  </w:r>
                </w:p>
              </w:tc>
              <w:tc>
                <w:tcPr>
                  <w:tcW w:w="2602" w:type="dxa"/>
                  <w:vAlign w:val="center"/>
                </w:tcPr>
                <w:p>
                  <w:pPr>
                    <w:pStyle w:val="89"/>
                    <w:tabs>
                      <w:tab w:val="left" w:pos="403"/>
                      <w:tab w:val="center" w:pos="870"/>
                    </w:tabs>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27</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.74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3</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西厂界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25</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.30</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4</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76</w:t>
                  </w:r>
                </w:p>
              </w:tc>
              <w:tc>
                <w:tcPr>
                  <w:tcW w:w="1255" w:type="dxa"/>
                  <w:vAlign w:val="center"/>
                </w:tcPr>
                <w:p>
                  <w:pPr>
                    <w:jc w:val="center"/>
                    <w:rPr>
                      <w:color w:val="000000"/>
                      <w:sz w:val="21"/>
                      <w:szCs w:val="21"/>
                    </w:rPr>
                  </w:pPr>
                  <w:r>
                    <w:rPr>
                      <w:rFonts w:hint="eastAsia"/>
                      <w:color w:val="000000"/>
                      <w:sz w:val="21"/>
                      <w:szCs w:val="21"/>
                    </w:rPr>
                    <w:t>34</w:t>
                  </w:r>
                  <w:r>
                    <w:rPr>
                      <w:color w:val="000000"/>
                      <w:sz w:val="21"/>
                      <w:szCs w:val="21"/>
                    </w:rPr>
                    <w:t>.47</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06" w:type="dxa"/>
                  <w:gridSpan w:val="2"/>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color w:val="000000"/>
                      <w:kern w:val="2"/>
                      <w:szCs w:val="21"/>
                    </w:rPr>
                    <w:t>敏感点</w:t>
                  </w:r>
                </w:p>
              </w:tc>
              <w:tc>
                <w:tcPr>
                  <w:tcW w:w="1196" w:type="dxa"/>
                  <w:vAlign w:val="center"/>
                </w:tcPr>
                <w:p>
                  <w:pPr>
                    <w:pStyle w:val="89"/>
                    <w:spacing w:line="240" w:lineRule="auto"/>
                    <w:rPr>
                      <w:rFonts w:ascii="Times New Roman" w:hAnsi="Times New Roman"/>
                      <w:b w:val="0"/>
                      <w:color w:val="000000"/>
                      <w:kern w:val="2"/>
                      <w:szCs w:val="21"/>
                    </w:rPr>
                  </w:pPr>
                  <w:r>
                    <w:rPr>
                      <w:rFonts w:hint="eastAsia"/>
                      <w:b w:val="0"/>
                      <w:bCs/>
                      <w:szCs w:val="21"/>
                    </w:rPr>
                    <w:t>黄家营</w:t>
                  </w:r>
                </w:p>
              </w:tc>
              <w:tc>
                <w:tcPr>
                  <w:tcW w:w="1732" w:type="dxa"/>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color w:val="000000"/>
                      <w:kern w:val="2"/>
                      <w:szCs w:val="21"/>
                    </w:rPr>
                    <w:t>50</w:t>
                  </w:r>
                </w:p>
              </w:tc>
              <w:tc>
                <w:tcPr>
                  <w:tcW w:w="1255" w:type="dxa"/>
                  <w:vAlign w:val="center"/>
                </w:tcPr>
                <w:p>
                  <w:pPr>
                    <w:jc w:val="center"/>
                    <w:rPr>
                      <w:color w:val="000000"/>
                      <w:sz w:val="21"/>
                      <w:szCs w:val="21"/>
                    </w:rPr>
                  </w:pPr>
                  <w:r>
                    <w:rPr>
                      <w:rFonts w:hint="eastAsia"/>
                      <w:color w:val="000000"/>
                      <w:sz w:val="21"/>
                      <w:szCs w:val="21"/>
                    </w:rPr>
                    <w:t>45.16</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5</w:t>
                  </w:r>
                </w:p>
              </w:tc>
              <w:tc>
                <w:tcPr>
                  <w:tcW w:w="1079" w:type="dxa"/>
                  <w:vMerge w:val="restart"/>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右所污水厂</w:t>
                  </w: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东厂界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26</w:t>
                  </w:r>
                </w:p>
              </w:tc>
              <w:tc>
                <w:tcPr>
                  <w:tcW w:w="1255" w:type="dxa"/>
                  <w:vAlign w:val="center"/>
                </w:tcPr>
                <w:p>
                  <w:pPr>
                    <w:jc w:val="center"/>
                    <w:rPr>
                      <w:color w:val="000000"/>
                      <w:sz w:val="21"/>
                      <w:szCs w:val="21"/>
                    </w:rPr>
                  </w:pPr>
                  <w:r>
                    <w:rPr>
                      <w:rFonts w:hint="eastAsia"/>
                      <w:color w:val="000000"/>
                      <w:sz w:val="21"/>
                      <w:szCs w:val="21"/>
                    </w:rPr>
                    <w:t>43</w:t>
                  </w:r>
                  <w:r>
                    <w:rPr>
                      <w:color w:val="000000"/>
                      <w:sz w:val="21"/>
                      <w:szCs w:val="21"/>
                    </w:rPr>
                    <w:t>.17</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6</w:t>
                  </w:r>
                </w:p>
              </w:tc>
              <w:tc>
                <w:tcPr>
                  <w:tcW w:w="1079" w:type="dxa"/>
                  <w:vMerge w:val="continue"/>
                  <w:tcBorders>
                    <w:top w:val="nil"/>
                  </w:tcBorders>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23</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.24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7</w:t>
                  </w:r>
                </w:p>
              </w:tc>
              <w:tc>
                <w:tcPr>
                  <w:tcW w:w="1079" w:type="dxa"/>
                  <w:vMerge w:val="continue"/>
                  <w:tcBorders>
                    <w:top w:val="nil"/>
                  </w:tcBorders>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西厂界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22</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.62</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8</w:t>
                  </w:r>
                </w:p>
              </w:tc>
              <w:tc>
                <w:tcPr>
                  <w:tcW w:w="1079" w:type="dxa"/>
                  <w:vMerge w:val="continue"/>
                  <w:tcBorders>
                    <w:top w:val="nil"/>
                  </w:tcBorders>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31</w:t>
                  </w:r>
                </w:p>
              </w:tc>
              <w:tc>
                <w:tcPr>
                  <w:tcW w:w="1255" w:type="dxa"/>
                  <w:vAlign w:val="center"/>
                </w:tcPr>
                <w:p>
                  <w:pPr>
                    <w:jc w:val="center"/>
                    <w:rPr>
                      <w:color w:val="000000"/>
                      <w:sz w:val="21"/>
                      <w:szCs w:val="21"/>
                    </w:rPr>
                  </w:pPr>
                  <w:r>
                    <w:rPr>
                      <w:rFonts w:hint="eastAsia"/>
                      <w:color w:val="000000"/>
                      <w:sz w:val="21"/>
                      <w:szCs w:val="21"/>
                    </w:rPr>
                    <w:t>41</w:t>
                  </w:r>
                  <w:r>
                    <w:rPr>
                      <w:color w:val="000000"/>
                      <w:sz w:val="21"/>
                      <w:szCs w:val="21"/>
                    </w:rPr>
                    <w:t>.64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9</w:t>
                  </w:r>
                </w:p>
              </w:tc>
              <w:tc>
                <w:tcPr>
                  <w:tcW w:w="1079" w:type="dxa"/>
                  <w:vMerge w:val="restart"/>
                  <w:tcBorders>
                    <w:top w:val="nil"/>
                  </w:tcBorders>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牛街污水厂</w:t>
                  </w: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东厂界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34</w:t>
                  </w:r>
                </w:p>
              </w:tc>
              <w:tc>
                <w:tcPr>
                  <w:tcW w:w="1255" w:type="dxa"/>
                  <w:vAlign w:val="center"/>
                </w:tcPr>
                <w:p>
                  <w:pPr>
                    <w:jc w:val="center"/>
                    <w:rPr>
                      <w:color w:val="000000"/>
                      <w:sz w:val="21"/>
                      <w:szCs w:val="21"/>
                    </w:rPr>
                  </w:pPr>
                  <w:r>
                    <w:rPr>
                      <w:rFonts w:hint="eastAsia"/>
                      <w:color w:val="000000"/>
                      <w:sz w:val="21"/>
                      <w:szCs w:val="21"/>
                    </w:rPr>
                    <w:t>40.39</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10</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15</w:t>
                  </w:r>
                </w:p>
              </w:tc>
              <w:tc>
                <w:tcPr>
                  <w:tcW w:w="1255" w:type="dxa"/>
                  <w:vAlign w:val="center"/>
                </w:tcPr>
                <w:p>
                  <w:pPr>
                    <w:jc w:val="center"/>
                    <w:rPr>
                      <w:color w:val="000000"/>
                      <w:sz w:val="21"/>
                      <w:szCs w:val="21"/>
                    </w:rPr>
                  </w:pPr>
                  <w:r>
                    <w:rPr>
                      <w:rFonts w:hint="eastAsia"/>
                      <w:color w:val="000000"/>
                      <w:sz w:val="21"/>
                      <w:szCs w:val="21"/>
                    </w:rPr>
                    <w:t>47.49</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11</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西厂界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41</w:t>
                  </w:r>
                </w:p>
              </w:tc>
              <w:tc>
                <w:tcPr>
                  <w:tcW w:w="1255" w:type="dxa"/>
                  <w:vAlign w:val="center"/>
                </w:tcPr>
                <w:p>
                  <w:pPr>
                    <w:jc w:val="center"/>
                    <w:rPr>
                      <w:color w:val="000000"/>
                      <w:sz w:val="21"/>
                      <w:szCs w:val="21"/>
                    </w:rPr>
                  </w:pPr>
                  <w:r>
                    <w:rPr>
                      <w:rFonts w:hint="eastAsia"/>
                      <w:color w:val="000000"/>
                      <w:sz w:val="21"/>
                      <w:szCs w:val="21"/>
                    </w:rPr>
                    <w:t>38.76</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12</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13</w:t>
                  </w:r>
                </w:p>
              </w:tc>
              <w:tc>
                <w:tcPr>
                  <w:tcW w:w="1255" w:type="dxa"/>
                  <w:vAlign w:val="center"/>
                </w:tcPr>
                <w:p>
                  <w:pPr>
                    <w:jc w:val="center"/>
                    <w:rPr>
                      <w:color w:val="000000"/>
                      <w:sz w:val="21"/>
                      <w:szCs w:val="21"/>
                    </w:rPr>
                  </w:pPr>
                  <w:r>
                    <w:rPr>
                      <w:rFonts w:hint="eastAsia"/>
                      <w:color w:val="000000"/>
                      <w:sz w:val="21"/>
                      <w:szCs w:val="21"/>
                    </w:rPr>
                    <w:t>48</w:t>
                  </w:r>
                  <w:r>
                    <w:rPr>
                      <w:color w:val="000000"/>
                      <w:sz w:val="21"/>
                      <w:szCs w:val="21"/>
                    </w:rPr>
                    <w:t>.74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06" w:type="dxa"/>
                  <w:gridSpan w:val="2"/>
                  <w:vAlign w:val="center"/>
                </w:tcPr>
                <w:p>
                  <w:pPr>
                    <w:jc w:val="center"/>
                    <w:rPr>
                      <w:color w:val="000000"/>
                      <w:sz w:val="21"/>
                      <w:szCs w:val="21"/>
                    </w:rPr>
                  </w:pPr>
                  <w:r>
                    <w:rPr>
                      <w:rFonts w:hint="eastAsia"/>
                      <w:color w:val="000000"/>
                      <w:sz w:val="21"/>
                      <w:szCs w:val="21"/>
                    </w:rPr>
                    <w:t>敏感点</w:t>
                  </w:r>
                </w:p>
              </w:tc>
              <w:tc>
                <w:tcPr>
                  <w:tcW w:w="1196" w:type="dxa"/>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bCs/>
                      <w:szCs w:val="21"/>
                    </w:rPr>
                    <w:t>文登村</w:t>
                  </w:r>
                </w:p>
              </w:tc>
              <w:tc>
                <w:tcPr>
                  <w:tcW w:w="1732" w:type="dxa"/>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color w:val="000000"/>
                      <w:kern w:val="2"/>
                      <w:szCs w:val="21"/>
                    </w:rPr>
                    <w:t>20</w:t>
                  </w:r>
                </w:p>
              </w:tc>
              <w:tc>
                <w:tcPr>
                  <w:tcW w:w="1255" w:type="dxa"/>
                  <w:vAlign w:val="center"/>
                </w:tcPr>
                <w:p>
                  <w:pPr>
                    <w:jc w:val="center"/>
                    <w:rPr>
                      <w:color w:val="000000"/>
                      <w:sz w:val="21"/>
                      <w:szCs w:val="21"/>
                    </w:rPr>
                  </w:pPr>
                  <w:r>
                    <w:rPr>
                      <w:rFonts w:hint="eastAsia"/>
                      <w:color w:val="000000"/>
                      <w:sz w:val="21"/>
                      <w:szCs w:val="21"/>
                    </w:rPr>
                    <w:t>44.99</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002" w:type="dxa"/>
                  <w:gridSpan w:val="3"/>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《工业企业厂界环境噪声排放准》（GB 12348-2008）2类标准</w:t>
                  </w:r>
                </w:p>
              </w:tc>
              <w:tc>
                <w:tcPr>
                  <w:tcW w:w="5589" w:type="dxa"/>
                  <w:gridSpan w:val="3"/>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昼间60dB(A)，夜间50dB(A)</w:t>
                  </w:r>
                </w:p>
              </w:tc>
            </w:tr>
          </w:tbl>
          <w:p>
            <w:pPr>
              <w:pStyle w:val="17"/>
              <w:adjustRightInd w:val="0"/>
              <w:snapToGrid w:val="0"/>
              <w:spacing w:beforeLines="50" w:line="360" w:lineRule="auto"/>
              <w:ind w:firstLine="480" w:firstLineChars="200"/>
              <w:rPr>
                <w:rFonts w:ascii="Times New Roman" w:hAnsi="Times New Roman"/>
                <w:bCs/>
                <w:color w:val="FF0000"/>
              </w:rPr>
            </w:pPr>
            <w:r>
              <w:rPr>
                <w:rFonts w:hint="eastAsia" w:ascii="Times New Roman" w:hAnsi="Times New Roman"/>
                <w:bCs/>
                <w:color w:val="FF0000"/>
              </w:rPr>
              <w:t>由上表可以看出，项目营运期三座污水厂东、南、西、北厂界昼、夜间噪声均能够满足《工业企业厂界环境噪声排放标准》（GB12348-2008）2类标准</w:t>
            </w:r>
          </w:p>
          <w:p>
            <w:pPr>
              <w:pStyle w:val="17"/>
              <w:adjustRightInd w:val="0"/>
              <w:snapToGrid w:val="0"/>
              <w:spacing w:line="360" w:lineRule="auto"/>
              <w:ind w:firstLine="480" w:firstLineChars="200"/>
              <w:rPr>
                <w:rFonts w:ascii="Times New Roman" w:hAnsi="Times New Roman"/>
                <w:szCs w:val="24"/>
              </w:rPr>
            </w:pPr>
            <w:r>
              <w:rPr>
                <w:rFonts w:hint="eastAsia" w:ascii="Times New Roman" w:hAnsi="Times New Roman"/>
                <w:color w:val="FF0000"/>
              </w:rPr>
              <w:t>根据现场踏勘调查，三座污水厂</w:t>
            </w:r>
            <w:r>
              <w:rPr>
                <w:rFonts w:hint="eastAsia" w:ascii="Times New Roman" w:hAnsi="Times New Roman"/>
                <w:bCs/>
                <w:color w:val="FF0000"/>
              </w:rPr>
              <w:t>评价范围内只有邓川污水厂和牛街污水厂有声敏感目标，根据上述预测结果，邓川污水厂产生的噪声对敏感目标处（黄家营）的预测值（在叠加背景值后会比贡献值增加1~3dB）在昼、夜间也均能够满足</w:t>
            </w:r>
            <w:r>
              <w:rPr>
                <w:rFonts w:ascii="Times New Roman" w:hAnsi="Times New Roman"/>
                <w:color w:val="FF0000"/>
                <w:szCs w:val="24"/>
              </w:rPr>
              <w:t>《声环境质量标准》（GB 3096-2008）</w:t>
            </w:r>
            <w:r>
              <w:rPr>
                <w:rFonts w:hint="eastAsia" w:ascii="Times New Roman" w:hAnsi="Times New Roman"/>
                <w:color w:val="FF0000"/>
                <w:szCs w:val="24"/>
              </w:rPr>
              <w:t>2</w:t>
            </w:r>
            <w:r>
              <w:rPr>
                <w:rFonts w:ascii="Times New Roman" w:hAnsi="Times New Roman"/>
                <w:color w:val="FF0000"/>
                <w:szCs w:val="24"/>
              </w:rPr>
              <w:t>类标准</w:t>
            </w:r>
            <w:r>
              <w:rPr>
                <w:rFonts w:hint="eastAsia" w:ascii="Times New Roman" w:hAnsi="Times New Roman"/>
                <w:color w:val="FF0000"/>
                <w:szCs w:val="24"/>
              </w:rPr>
              <w:t>要求；</w:t>
            </w:r>
            <w:r>
              <w:rPr>
                <w:rFonts w:hint="eastAsia" w:ascii="Times New Roman" w:hAnsi="Times New Roman"/>
                <w:bCs/>
                <w:color w:val="FF0000"/>
              </w:rPr>
              <w:t>牛街污水厂产生的噪声对敏感目标处（文登村）的预测值（在叠加背景值后会比贡献值增加1~3dB）在昼、夜间夜均能够满足</w:t>
            </w:r>
            <w:r>
              <w:rPr>
                <w:rFonts w:ascii="Times New Roman" w:hAnsi="Times New Roman"/>
                <w:color w:val="FF0000"/>
                <w:szCs w:val="24"/>
              </w:rPr>
              <w:t>《声环境质量标准》（GB 3096-2008）</w:t>
            </w:r>
            <w:r>
              <w:rPr>
                <w:rFonts w:hint="eastAsia" w:ascii="Times New Roman" w:hAnsi="Times New Roman"/>
                <w:color w:val="FF0000"/>
                <w:szCs w:val="24"/>
              </w:rPr>
              <w:t>2</w:t>
            </w:r>
            <w:r>
              <w:rPr>
                <w:rFonts w:ascii="Times New Roman" w:hAnsi="Times New Roman"/>
                <w:color w:val="FF0000"/>
                <w:szCs w:val="24"/>
              </w:rPr>
              <w:t>类标准</w:t>
            </w:r>
            <w:r>
              <w:rPr>
                <w:rFonts w:hint="eastAsia" w:ascii="Times New Roman" w:hAnsi="Times New Roman"/>
                <w:color w:val="FF0000"/>
                <w:szCs w:val="24"/>
              </w:rPr>
              <w:t>要求</w:t>
            </w:r>
            <w:r>
              <w:rPr>
                <w:rFonts w:hint="eastAsia" w:ascii="Times New Roman" w:hAnsi="Times New Roman"/>
                <w:szCs w:val="24"/>
              </w:rPr>
              <w:t>。但根据项目实际现场踏勘情况，牛街污水厂北面距离声环境保护目标较近，因此，本环评对牛街污水厂提出以下措施：</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①对北厂界（临近居民一侧）的围墙采用砖混结构形式，不可使用围栏结构。同时加强厂界处绿化建设，种植高大密集的乔木，绿化带有明显的吸声、隔声降噪作用，有效隔声降噪减缓夜间噪声对村民的影响；</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②选用低噪声设备。对高产噪设备进行更换或是单独隔声降噪处理；</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 xml:space="preserve">③日常加强各类设备的保养维护工作，确保设备稳定正常运转； </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④加强与村民的互动和民意调查，及时了解本项目噪声对村民的影响情况，并听取村民的意见和建议，加强和改进相关防治措施，如有必要，应在临近居民一面建设声屏障或是对居民卧室安装隔声窗，尽量减少噪声对敏感目标的影响。</w:t>
            </w:r>
          </w:p>
          <w:p>
            <w:pPr>
              <w:adjustRightInd w:val="0"/>
              <w:snapToGrid w:val="0"/>
              <w:spacing w:line="360" w:lineRule="auto"/>
              <w:ind w:firstLine="482" w:firstLineChars="200"/>
              <w:rPr>
                <w:b/>
                <w:szCs w:val="24"/>
              </w:rPr>
            </w:pPr>
            <w:r>
              <w:rPr>
                <w:b/>
                <w:szCs w:val="24"/>
              </w:rPr>
              <w:t>4、固体废物</w:t>
            </w:r>
          </w:p>
          <w:p>
            <w:pPr>
              <w:adjustRightInd w:val="0"/>
              <w:snapToGrid w:val="0"/>
              <w:spacing w:line="360" w:lineRule="auto"/>
              <w:ind w:firstLine="480" w:firstLineChars="200"/>
              <w:rPr>
                <w:bCs/>
              </w:rPr>
            </w:pPr>
            <w:r>
              <w:rPr>
                <w:rFonts w:hint="eastAsia"/>
                <w:bCs/>
              </w:rPr>
              <w:t>项目运行期的固体废物主要是污水处理过程产生的剩余污泥、格栅渣、员工生活垃圾以及污水处理设备维护产生废机油。</w:t>
            </w:r>
          </w:p>
          <w:p>
            <w:pPr>
              <w:adjustRightInd w:val="0"/>
              <w:snapToGrid w:val="0"/>
              <w:spacing w:line="360" w:lineRule="auto"/>
              <w:ind w:firstLine="480" w:firstLineChars="200"/>
              <w:rPr>
                <w:bCs/>
              </w:rPr>
            </w:pPr>
            <w:r>
              <w:rPr>
                <w:bCs/>
              </w:rPr>
              <w:t>（1）污泥</w:t>
            </w:r>
          </w:p>
          <w:p>
            <w:pPr>
              <w:adjustRightInd w:val="0"/>
              <w:snapToGrid w:val="0"/>
              <w:spacing w:line="360" w:lineRule="auto"/>
              <w:ind w:firstLine="480" w:firstLineChars="200"/>
              <w:rPr>
                <w:bCs/>
              </w:rPr>
            </w:pPr>
            <w:r>
              <w:rPr>
                <w:bCs/>
              </w:rPr>
              <w:t>根据工程分析核算，项目</w:t>
            </w:r>
            <w:r>
              <w:rPr>
                <w:rFonts w:hint="eastAsia"/>
                <w:bCs/>
              </w:rPr>
              <w:t>三</w:t>
            </w:r>
            <w:r>
              <w:rPr>
                <w:bCs/>
              </w:rPr>
              <w:t>座污水</w:t>
            </w:r>
            <w:r>
              <w:rPr>
                <w:rFonts w:hint="eastAsia"/>
                <w:bCs/>
              </w:rPr>
              <w:t>厂</w:t>
            </w:r>
            <w:r>
              <w:rPr>
                <w:bCs/>
              </w:rPr>
              <w:t>的污泥产生量为0.</w:t>
            </w:r>
            <w:r>
              <w:rPr>
                <w:rFonts w:hint="eastAsia"/>
                <w:bCs/>
              </w:rPr>
              <w:t>4</w:t>
            </w:r>
            <w:r>
              <w:rPr>
                <w:bCs/>
              </w:rPr>
              <w:t>t/d，</w:t>
            </w:r>
            <w:r>
              <w:rPr>
                <w:rFonts w:hint="eastAsia"/>
                <w:bCs/>
              </w:rPr>
              <w:t>146</w:t>
            </w:r>
            <w:r>
              <w:rPr>
                <w:bCs/>
              </w:rPr>
              <w:t>t/a</w:t>
            </w:r>
            <w:r>
              <w:rPr>
                <w:rFonts w:hint="eastAsia"/>
                <w:bCs/>
              </w:rPr>
              <w:t>。根据《国家危险废物名录》，本项目污水处理过程中产生的污泥不属于所列的危险废物，污泥经过脱水处理后，含水率低于60%，满足《城镇污水处理厂污染物排放标准》（GB18918-2002）表5的规定要求，脱水后的泥饼委托环卫部门清运至洱源县垃圾填埋场处置。</w:t>
            </w:r>
          </w:p>
          <w:p>
            <w:pPr>
              <w:adjustRightInd w:val="0"/>
              <w:snapToGrid w:val="0"/>
              <w:spacing w:line="360" w:lineRule="auto"/>
              <w:ind w:firstLine="480" w:firstLineChars="200"/>
              <w:rPr>
                <w:bCs/>
              </w:rPr>
            </w:pPr>
            <w:r>
              <w:rPr>
                <w:bCs/>
              </w:rPr>
              <w:t>（2）格栅渣</w:t>
            </w:r>
          </w:p>
          <w:p>
            <w:pPr>
              <w:adjustRightInd w:val="0"/>
              <w:snapToGrid w:val="0"/>
              <w:spacing w:line="360" w:lineRule="auto"/>
              <w:ind w:firstLine="480" w:firstLineChars="200"/>
              <w:rPr>
                <w:szCs w:val="24"/>
              </w:rPr>
            </w:pPr>
            <w:r>
              <w:rPr>
                <w:bCs/>
              </w:rPr>
              <w:t>根据工程分析核算，项目</w:t>
            </w:r>
            <w:r>
              <w:rPr>
                <w:rFonts w:hint="eastAsia"/>
                <w:bCs/>
              </w:rPr>
              <w:t>三</w:t>
            </w:r>
            <w:r>
              <w:rPr>
                <w:bCs/>
              </w:rPr>
              <w:t>座污水</w:t>
            </w:r>
            <w:r>
              <w:rPr>
                <w:rFonts w:hint="eastAsia"/>
                <w:bCs/>
              </w:rPr>
              <w:t>厂</w:t>
            </w:r>
            <w:r>
              <w:rPr>
                <w:bCs/>
              </w:rPr>
              <w:t>栅渣产生总量为</w:t>
            </w:r>
            <w:r>
              <w:rPr>
                <w:rFonts w:hint="eastAsia"/>
                <w:bCs/>
              </w:rPr>
              <w:t>1.2t</w:t>
            </w:r>
            <w:r>
              <w:rPr>
                <w:bCs/>
              </w:rPr>
              <w:t>/d，</w:t>
            </w:r>
            <w:r>
              <w:rPr>
                <w:rFonts w:hint="eastAsia"/>
                <w:bCs/>
              </w:rPr>
              <w:t>438</w:t>
            </w:r>
            <w:r>
              <w:rPr>
                <w:bCs/>
              </w:rPr>
              <w:t>t/a。格栅渣属于一般固体废物，统一收集后</w:t>
            </w:r>
            <w:r>
              <w:rPr>
                <w:rFonts w:hint="eastAsia"/>
                <w:bCs/>
              </w:rPr>
              <w:t>清运至洱源县垃圾填埋场处置，不</w:t>
            </w:r>
            <w:r>
              <w:rPr>
                <w:szCs w:val="24"/>
              </w:rPr>
              <w:t>会对环境造成较大的影响。</w:t>
            </w:r>
          </w:p>
          <w:p>
            <w:pPr>
              <w:adjustRightInd w:val="0"/>
              <w:snapToGrid w:val="0"/>
              <w:spacing w:line="360" w:lineRule="auto"/>
              <w:ind w:firstLine="480" w:firstLineChars="200"/>
              <w:rPr>
                <w:bCs/>
              </w:rPr>
            </w:pPr>
            <w:r>
              <w:rPr>
                <w:rFonts w:hint="eastAsia"/>
                <w:bCs/>
              </w:rPr>
              <w:t xml:space="preserve">（3）生活垃圾 </w:t>
            </w:r>
          </w:p>
          <w:p>
            <w:pPr>
              <w:adjustRightInd w:val="0"/>
              <w:snapToGrid w:val="0"/>
              <w:spacing w:line="360" w:lineRule="auto"/>
              <w:ind w:firstLine="480" w:firstLineChars="200"/>
              <w:rPr>
                <w:bCs/>
              </w:rPr>
            </w:pPr>
            <w:r>
              <w:rPr>
                <w:rFonts w:hint="eastAsia"/>
                <w:bCs/>
              </w:rPr>
              <w:t>本项目每个污水处理厂平均配备3个管理人员，生活垃圾产生量较少，经垃圾桶收集后与格栅渣一起清运至洱源县垃圾填埋场处置。</w:t>
            </w:r>
          </w:p>
          <w:p>
            <w:pPr>
              <w:adjustRightInd w:val="0"/>
              <w:snapToGrid w:val="0"/>
              <w:spacing w:line="360" w:lineRule="auto"/>
              <w:ind w:firstLine="480" w:firstLineChars="200"/>
              <w:rPr>
                <w:bCs/>
              </w:rPr>
            </w:pPr>
            <w:r>
              <w:rPr>
                <w:rFonts w:hint="eastAsia"/>
                <w:bCs/>
              </w:rPr>
              <w:t>（4）废机油</w:t>
            </w:r>
          </w:p>
          <w:p>
            <w:pPr>
              <w:adjustRightInd w:val="0"/>
              <w:snapToGrid w:val="0"/>
              <w:spacing w:line="360" w:lineRule="auto"/>
              <w:ind w:firstLine="480" w:firstLineChars="200"/>
            </w:pPr>
            <w:r>
              <w:rPr>
                <w:rFonts w:hint="eastAsia"/>
              </w:rPr>
              <w:t>根据工程分析，本项目</w:t>
            </w:r>
            <w:r>
              <w:rPr>
                <w:rFonts w:hint="eastAsia"/>
                <w:bCs/>
              </w:rPr>
              <w:t>每座污水厂废机油</w:t>
            </w:r>
            <w:r>
              <w:t>产生量约为</w:t>
            </w:r>
            <w:r>
              <w:rPr>
                <w:rFonts w:hint="eastAsia"/>
              </w:rPr>
              <w:t>1.2t</w:t>
            </w:r>
            <w:r>
              <w:t>/a</w:t>
            </w:r>
            <w:r>
              <w:rPr>
                <w:rFonts w:hint="eastAsia"/>
              </w:rPr>
              <w:t>，三座污水厂合计3.6t</w:t>
            </w:r>
            <w:r>
              <w:t>/a。根据《国家危险废物名录》，废机油属于废矿物油与含矿物油废物中其他生产、销售、使用过程中产生的废矿物油及含矿物油废物，废物代码为900-249-08。项建设单位对化废机油采用专用收集桶进行收集，暂存于危废间，委托</w:t>
            </w:r>
            <w:r>
              <w:rPr>
                <w:rFonts w:hint="eastAsia"/>
              </w:rPr>
              <w:t>有危险废物处置资质的单位</w:t>
            </w:r>
            <w:r>
              <w:t>进行处置。</w:t>
            </w:r>
          </w:p>
          <w:p>
            <w:pPr>
              <w:adjustRightInd w:val="0"/>
              <w:snapToGrid w:val="0"/>
              <w:spacing w:line="360" w:lineRule="auto"/>
              <w:ind w:firstLine="480" w:firstLineChars="200"/>
              <w:rPr>
                <w:color w:val="FF0000"/>
              </w:rPr>
            </w:pPr>
            <w:r>
              <w:rPr>
                <w:rFonts w:hint="eastAsia"/>
                <w:color w:val="FF0000"/>
              </w:rPr>
              <w:t xml:space="preserve"> ⑤在线监测废液</w:t>
            </w:r>
          </w:p>
          <w:p>
            <w:pPr>
              <w:adjustRightInd w:val="0"/>
              <w:snapToGrid w:val="0"/>
              <w:spacing w:line="360" w:lineRule="auto"/>
              <w:ind w:firstLine="480" w:firstLineChars="200"/>
              <w:rPr>
                <w:color w:val="FF0000"/>
              </w:rPr>
            </w:pPr>
            <w:r>
              <w:rPr>
                <w:rFonts w:hint="eastAsia"/>
                <w:color w:val="FF0000"/>
              </w:rPr>
              <w:t xml:space="preserve">项目三座污水处理厂均设有在线监测室，总产生量约为1.2t/a，根据《国家危险废物名录》，化验室废液属于其他废物中研究、开发和教学活动中、化学和生物实验室产生的废物，废物代码为900-047-49。项目在线监测设备均委托专业的第三方进行运营管理，产生的监测废液统一由第三方单位更换后带走后委托有资质的单位进行处置，不在项目厂区储存。 </w:t>
            </w:r>
          </w:p>
          <w:p>
            <w:pPr>
              <w:adjustRightInd w:val="0"/>
              <w:snapToGrid w:val="0"/>
              <w:spacing w:line="360" w:lineRule="auto"/>
              <w:ind w:firstLine="480" w:firstLineChars="200"/>
            </w:pPr>
            <w:r>
              <w:rPr>
                <w:rFonts w:hint="eastAsia"/>
                <w:szCs w:val="24"/>
              </w:rPr>
              <w:t>综上所述，项目运营期产生的各类固废均得到妥善处置，对周围环境基本无影响。</w:t>
            </w:r>
          </w:p>
          <w:p>
            <w:pPr>
              <w:adjustRightInd w:val="0"/>
              <w:snapToGrid w:val="0"/>
              <w:spacing w:beforeLines="50" w:line="360" w:lineRule="auto"/>
              <w:ind w:firstLine="482" w:firstLineChars="200"/>
              <w:rPr>
                <w:b/>
                <w:szCs w:val="24"/>
              </w:rPr>
            </w:pPr>
            <w:r>
              <w:rPr>
                <w:rFonts w:hint="eastAsia"/>
                <w:b/>
                <w:szCs w:val="24"/>
              </w:rPr>
              <w:t>5</w:t>
            </w:r>
            <w:r>
              <w:rPr>
                <w:b/>
                <w:szCs w:val="24"/>
              </w:rPr>
              <w:t>、地下水环境影响分析</w:t>
            </w:r>
          </w:p>
          <w:p>
            <w:pPr>
              <w:adjustRightInd w:val="0"/>
              <w:snapToGrid w:val="0"/>
              <w:spacing w:line="360" w:lineRule="auto"/>
              <w:ind w:firstLine="482" w:firstLineChars="200"/>
              <w:rPr>
                <w:b/>
                <w:bCs/>
              </w:rPr>
            </w:pPr>
            <w:r>
              <w:rPr>
                <w:rFonts w:hint="eastAsia" w:ascii="宋体" w:hAnsi="宋体" w:cs="宋体"/>
                <w:b/>
                <w:bCs/>
              </w:rPr>
              <w:t>（1）</w:t>
            </w:r>
            <w:r>
              <w:rPr>
                <w:b/>
                <w:bCs/>
              </w:rPr>
              <w:t>评价等级</w:t>
            </w:r>
            <w:r>
              <w:rPr>
                <w:rFonts w:hint="eastAsia"/>
                <w:b/>
                <w:bCs/>
              </w:rPr>
              <w:t>的确定</w:t>
            </w:r>
          </w:p>
          <w:p>
            <w:pPr>
              <w:adjustRightInd w:val="0"/>
              <w:snapToGrid w:val="0"/>
              <w:spacing w:line="360" w:lineRule="auto"/>
              <w:ind w:firstLine="480" w:firstLineChars="200"/>
              <w:rPr>
                <w:bCs/>
                <w:kern w:val="0"/>
              </w:rPr>
            </w:pPr>
            <w:r>
              <w:rPr>
                <w:bCs/>
                <w:kern w:val="0"/>
              </w:rPr>
              <w:t>根据《环境影响评价技术导则  地下水环境》（HJ610-2016），建设项目地下水环境影响评估工作等级划分见</w:t>
            </w:r>
            <w:r>
              <w:rPr>
                <w:rFonts w:hint="eastAsia"/>
                <w:bCs/>
                <w:kern w:val="0"/>
              </w:rPr>
              <w:t>下表：</w:t>
            </w:r>
          </w:p>
          <w:p>
            <w:pPr>
              <w:tabs>
                <w:tab w:val="left" w:pos="2280"/>
              </w:tabs>
              <w:adjustRightInd w:val="0"/>
              <w:snapToGrid w:val="0"/>
              <w:spacing w:line="276" w:lineRule="auto"/>
              <w:jc w:val="center"/>
              <w:rPr>
                <w:b/>
                <w:szCs w:val="21"/>
              </w:rPr>
            </w:pPr>
            <w:r>
              <w:rPr>
                <w:b/>
                <w:sz w:val="21"/>
                <w:szCs w:val="18"/>
              </w:rPr>
              <w:t>表7-</w:t>
            </w:r>
            <w:r>
              <w:rPr>
                <w:rFonts w:hint="eastAsia"/>
                <w:b/>
                <w:sz w:val="21"/>
                <w:szCs w:val="18"/>
              </w:rPr>
              <w:t xml:space="preserve">20 </w:t>
            </w:r>
            <w:r>
              <w:rPr>
                <w:b/>
                <w:sz w:val="21"/>
                <w:szCs w:val="18"/>
              </w:rPr>
              <w:t xml:space="preserve"> 地下水环境影响评价工作等级划分判据一览表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040"/>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tcBorders>
                    <w:tl2br w:val="single" w:color="auto" w:sz="4" w:space="0"/>
                  </w:tcBorders>
                  <w:vAlign w:val="center"/>
                </w:tcPr>
                <w:p>
                  <w:pPr>
                    <w:adjustRightInd w:val="0"/>
                    <w:snapToGrid w:val="0"/>
                    <w:spacing w:line="276" w:lineRule="auto"/>
                    <w:jc w:val="center"/>
                    <w:rPr>
                      <w:b/>
                      <w:sz w:val="21"/>
                      <w:szCs w:val="21"/>
                    </w:rPr>
                  </w:pPr>
                  <w:r>
                    <w:rPr>
                      <w:b/>
                      <w:sz w:val="21"/>
                      <w:szCs w:val="21"/>
                    </w:rPr>
                    <w:t xml:space="preserve">    项目类别</w:t>
                  </w:r>
                </w:p>
                <w:p>
                  <w:pPr>
                    <w:adjustRightInd w:val="0"/>
                    <w:snapToGrid w:val="0"/>
                    <w:spacing w:line="276" w:lineRule="auto"/>
                    <w:rPr>
                      <w:b/>
                      <w:sz w:val="21"/>
                      <w:szCs w:val="21"/>
                    </w:rPr>
                  </w:pPr>
                  <w:r>
                    <w:rPr>
                      <w:b/>
                      <w:sz w:val="21"/>
                      <w:szCs w:val="21"/>
                    </w:rPr>
                    <w:t>环境敏感程度</w:t>
                  </w:r>
                </w:p>
              </w:tc>
              <w:tc>
                <w:tcPr>
                  <w:tcW w:w="2040" w:type="dxa"/>
                  <w:vAlign w:val="center"/>
                </w:tcPr>
                <w:p>
                  <w:pPr>
                    <w:adjustRightInd w:val="0"/>
                    <w:snapToGrid w:val="0"/>
                    <w:spacing w:line="276" w:lineRule="auto"/>
                    <w:jc w:val="center"/>
                    <w:rPr>
                      <w:b/>
                      <w:sz w:val="21"/>
                      <w:szCs w:val="21"/>
                    </w:rPr>
                  </w:pPr>
                  <w:r>
                    <w:rPr>
                      <w:b/>
                      <w:sz w:val="21"/>
                      <w:szCs w:val="21"/>
                    </w:rPr>
                    <w:t>Ⅰ类项目</w:t>
                  </w:r>
                </w:p>
              </w:tc>
              <w:tc>
                <w:tcPr>
                  <w:tcW w:w="2126" w:type="dxa"/>
                  <w:vAlign w:val="center"/>
                </w:tcPr>
                <w:p>
                  <w:pPr>
                    <w:adjustRightInd w:val="0"/>
                    <w:snapToGrid w:val="0"/>
                    <w:spacing w:line="276" w:lineRule="auto"/>
                    <w:jc w:val="center"/>
                    <w:rPr>
                      <w:b/>
                      <w:sz w:val="21"/>
                      <w:szCs w:val="21"/>
                    </w:rPr>
                  </w:pPr>
                  <w:r>
                    <w:rPr>
                      <w:b/>
                      <w:sz w:val="21"/>
                      <w:szCs w:val="21"/>
                    </w:rPr>
                    <w:t>Ⅱ类项目</w:t>
                  </w:r>
                </w:p>
              </w:tc>
              <w:tc>
                <w:tcPr>
                  <w:tcW w:w="2126" w:type="dxa"/>
                  <w:vAlign w:val="center"/>
                </w:tcPr>
                <w:p>
                  <w:pPr>
                    <w:adjustRightInd w:val="0"/>
                    <w:snapToGrid w:val="0"/>
                    <w:spacing w:line="276" w:lineRule="auto"/>
                    <w:jc w:val="center"/>
                    <w:rPr>
                      <w:b/>
                      <w:sz w:val="21"/>
                      <w:szCs w:val="21"/>
                    </w:rPr>
                  </w:pPr>
                  <w:r>
                    <w:rPr>
                      <w:b/>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321"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敏感</w:t>
                  </w:r>
                </w:p>
              </w:tc>
              <w:tc>
                <w:tcPr>
                  <w:tcW w:w="2040"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一</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一</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2321"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较敏感</w:t>
                  </w:r>
                </w:p>
              </w:tc>
              <w:tc>
                <w:tcPr>
                  <w:tcW w:w="2040"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一</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二</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21"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不敏感</w:t>
                  </w:r>
                </w:p>
              </w:tc>
              <w:tc>
                <w:tcPr>
                  <w:tcW w:w="2040"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二</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三</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三</w:t>
                  </w:r>
                </w:p>
              </w:tc>
            </w:tr>
          </w:tbl>
          <w:p>
            <w:pPr>
              <w:adjustRightInd w:val="0"/>
              <w:snapToGrid w:val="0"/>
              <w:spacing w:beforeLines="50" w:line="360" w:lineRule="auto"/>
              <w:ind w:firstLine="480" w:firstLineChars="200"/>
              <w:rPr>
                <w:bCs/>
                <w:kern w:val="0"/>
              </w:rPr>
            </w:pPr>
            <w:r>
              <w:rPr>
                <w:bCs/>
                <w:kern w:val="0"/>
              </w:rPr>
              <w:t>①项目为</w:t>
            </w:r>
            <w:r>
              <w:rPr>
                <w:rFonts w:hint="eastAsia"/>
                <w:bCs/>
                <w:kern w:val="0"/>
              </w:rPr>
              <w:t>生活污水集中处理</w:t>
            </w:r>
            <w:r>
              <w:rPr>
                <w:bCs/>
                <w:kern w:val="0"/>
              </w:rPr>
              <w:t>项目，根据《环境影响评价技术导则  地下水环境》（HJ610-2016），属于Ⅲ类建设项目。</w:t>
            </w:r>
          </w:p>
          <w:p>
            <w:pPr>
              <w:spacing w:line="360" w:lineRule="auto"/>
              <w:ind w:firstLine="480" w:firstLineChars="200"/>
              <w:rPr>
                <w:bCs/>
                <w:kern w:val="0"/>
              </w:rPr>
            </w:pPr>
            <w:r>
              <w:rPr>
                <w:bCs/>
                <w:kern w:val="0"/>
              </w:rPr>
              <w:t>②项目所在区域</w:t>
            </w:r>
            <w:r>
              <w:rPr>
                <w:rFonts w:hint="eastAsia"/>
                <w:bCs/>
                <w:kern w:val="0"/>
              </w:rPr>
              <w:t>邓川、右所、牛街均</w:t>
            </w:r>
            <w:r>
              <w:rPr>
                <w:bCs/>
                <w:kern w:val="0"/>
              </w:rPr>
              <w:t>不属于生活</w:t>
            </w:r>
            <w:r>
              <w:rPr>
                <w:rFonts w:hint="eastAsia"/>
                <w:bCs/>
                <w:kern w:val="0"/>
              </w:rPr>
              <w:t>饮用水</w:t>
            </w:r>
            <w:r>
              <w:rPr>
                <w:bCs/>
                <w:kern w:val="0"/>
              </w:rPr>
              <w:t>水源地保护区</w:t>
            </w:r>
            <w:r>
              <w:rPr>
                <w:rFonts w:hint="eastAsia"/>
                <w:bCs/>
                <w:kern w:val="0"/>
              </w:rPr>
              <w:t>，所在区域的用水均由自来水厂供给，不涉及地下水的开采及饮用，但邓川、右所镇周边有普陀泉、下山口等温泉地下水初露点，属于特殊地下水资源（如矿泉水、温泉等）保护区以外的分布区等其他未列入上述敏感分级的环境敏感区因，因此，判定邓川、右所周边的地下水敏感程度为较敏感，牛街所在区域的地下水环境敏感程度为不敏感。</w:t>
            </w:r>
          </w:p>
          <w:p>
            <w:pPr>
              <w:spacing w:line="360" w:lineRule="auto"/>
              <w:ind w:firstLine="480" w:firstLineChars="200"/>
              <w:rPr>
                <w:bCs/>
                <w:kern w:val="0"/>
              </w:rPr>
            </w:pPr>
            <w:r>
              <w:rPr>
                <w:bCs/>
                <w:kern w:val="0"/>
              </w:rPr>
              <w:t>综上所述，本项目</w:t>
            </w:r>
            <w:r>
              <w:rPr>
                <w:rFonts w:hint="eastAsia"/>
                <w:bCs/>
                <w:kern w:val="0"/>
              </w:rPr>
              <w:t>三座污水厂的</w:t>
            </w:r>
            <w:r>
              <w:rPr>
                <w:bCs/>
                <w:kern w:val="0"/>
              </w:rPr>
              <w:t>地下水影响评价等级</w:t>
            </w:r>
            <w:r>
              <w:rPr>
                <w:rFonts w:hint="eastAsia"/>
                <w:bCs/>
                <w:kern w:val="0"/>
              </w:rPr>
              <w:t>均</w:t>
            </w:r>
            <w:r>
              <w:rPr>
                <w:bCs/>
                <w:kern w:val="0"/>
              </w:rPr>
              <w:t>为三级。本项目主要从区域内水文地质条件、水力联系、污染途径、影响方式以及防控措施等方面进行影响分析评价。</w:t>
            </w:r>
          </w:p>
          <w:p>
            <w:pPr>
              <w:spacing w:line="360" w:lineRule="auto"/>
              <w:ind w:firstLine="482" w:firstLineChars="200"/>
              <w:rPr>
                <w:b/>
                <w:bCs/>
              </w:rPr>
            </w:pPr>
            <w:r>
              <w:rPr>
                <w:b/>
                <w:bCs/>
              </w:rPr>
              <w:t>（2）</w:t>
            </w:r>
            <w:r>
              <w:rPr>
                <w:rFonts w:hint="eastAsia"/>
                <w:b/>
                <w:bCs/>
              </w:rPr>
              <w:t>地下水</w:t>
            </w:r>
            <w:r>
              <w:rPr>
                <w:b/>
                <w:bCs/>
              </w:rPr>
              <w:t>环境影响分析</w:t>
            </w:r>
            <w:r>
              <w:rPr>
                <w:rFonts w:hint="eastAsia"/>
                <w:b/>
                <w:bCs/>
              </w:rPr>
              <w:t>评价</w:t>
            </w:r>
          </w:p>
          <w:p>
            <w:pPr>
              <w:spacing w:line="360" w:lineRule="auto"/>
              <w:ind w:firstLine="480" w:firstLineChars="200"/>
            </w:pPr>
            <w:r>
              <w:t>①区域内的水文地质条件</w:t>
            </w:r>
          </w:p>
          <w:p>
            <w:pPr>
              <w:spacing w:line="360" w:lineRule="auto"/>
              <w:ind w:firstLine="480" w:firstLineChars="200"/>
            </w:pPr>
            <w:r>
              <w:rPr>
                <w:kern w:val="0"/>
                <w:szCs w:val="24"/>
              </w:rPr>
              <w:t>根据</w:t>
            </w:r>
            <w:r>
              <w:rPr>
                <w:rFonts w:hint="eastAsia"/>
                <w:kern w:val="0"/>
                <w:szCs w:val="24"/>
              </w:rPr>
              <w:t>查阅水文地质图</w:t>
            </w:r>
            <w:r>
              <w:t>，</w:t>
            </w:r>
            <w:r>
              <w:rPr>
                <w:rFonts w:hint="eastAsia"/>
              </w:rPr>
              <w:t>项目所在区域洱源县的含水岩组为变质岩类裂隙含水岩组</w:t>
            </w:r>
            <w:r>
              <w:t>，</w:t>
            </w:r>
            <w:r>
              <w:rPr>
                <w:rFonts w:hint="eastAsia"/>
              </w:rPr>
              <w:t>含水层（亚组）主要为新生界</w:t>
            </w:r>
            <w:r>
              <w:t>第四</w:t>
            </w:r>
            <w:r>
              <w:rPr>
                <w:rFonts w:hint="eastAsia"/>
              </w:rPr>
              <w:t>全新统</w:t>
            </w:r>
            <w:r>
              <w:t>（Q</w:t>
            </w:r>
            <w:r>
              <w:rPr>
                <w:rFonts w:hint="eastAsia"/>
              </w:rPr>
              <w:t>h</w:t>
            </w:r>
            <w:r>
              <w:t>）的</w:t>
            </w:r>
            <w:r>
              <w:rPr>
                <w:rFonts w:hint="eastAsia"/>
              </w:rPr>
              <w:t>坡积、冲积、洪积、湖积砾石、砂砾及黏土</w:t>
            </w:r>
            <w:r>
              <w:t>等组成</w:t>
            </w:r>
            <w:r>
              <w:rPr>
                <w:rFonts w:hint="eastAsia"/>
              </w:rPr>
              <w:t>，其富水性中等。</w:t>
            </w:r>
          </w:p>
          <w:p>
            <w:pPr>
              <w:spacing w:line="360" w:lineRule="auto"/>
              <w:ind w:firstLine="480" w:firstLineChars="200"/>
            </w:pPr>
            <w:r>
              <w:t>②地下水的补给、径流、排泄条件</w:t>
            </w:r>
          </w:p>
          <w:p>
            <w:pPr>
              <w:spacing w:line="360" w:lineRule="auto"/>
              <w:ind w:firstLine="480" w:firstLineChars="200"/>
            </w:pPr>
            <w:r>
              <w:rPr>
                <w:rFonts w:hint="eastAsia"/>
              </w:rPr>
              <w:t>根据现场踏勘及资料调查，项目三座污水厂所在位置均为村镇内地势平坦区域，均高于周围地表水体</w:t>
            </w:r>
            <w:r>
              <w:t>。</w:t>
            </w:r>
            <w:r>
              <w:rPr>
                <w:rFonts w:hint="eastAsia"/>
              </w:rPr>
              <w:t>因此区域内</w:t>
            </w:r>
            <w:r>
              <w:t>地下水</w:t>
            </w:r>
            <w:r>
              <w:rPr>
                <w:rFonts w:hint="eastAsia"/>
              </w:rPr>
              <w:t>补给</w:t>
            </w:r>
            <w:r>
              <w:t>主要靠大气降水，</w:t>
            </w:r>
            <w:r>
              <w:rPr>
                <w:rFonts w:hint="eastAsia"/>
              </w:rPr>
              <w:t>由地表水下渗补给的可能性较小。项目邓川污水厂所在区域地势呈西北高，东南低，区域地下水流向基本与地形坡度一致，从西北面</w:t>
            </w:r>
            <w:r>
              <w:t>以蒸发和向低地势地带地表径流及地下渗流侧泄方式</w:t>
            </w:r>
            <w:r>
              <w:rPr>
                <w:rFonts w:hint="eastAsia"/>
              </w:rPr>
              <w:t>向东南面罗时江方向排泄；右所污水厂与西面的大理西湖地势相差不大且距离较近，因此，区域内地下水与地表水体之间的补、径、排水力联系相对较强；牛街污水厂所在区域地势呈东北高，西南低，区域地下水主要从东北面</w:t>
            </w:r>
            <w:r>
              <w:t>以向低地势地带地表径流</w:t>
            </w:r>
            <w:r>
              <w:rPr>
                <w:rFonts w:hint="eastAsia"/>
              </w:rPr>
              <w:t>的</w:t>
            </w:r>
            <w:r>
              <w:t>方式</w:t>
            </w:r>
            <w:r>
              <w:rPr>
                <w:rFonts w:hint="eastAsia"/>
              </w:rPr>
              <w:t>向西南面弥茨河方向排泄。</w:t>
            </w:r>
          </w:p>
          <w:p>
            <w:pPr>
              <w:spacing w:line="360" w:lineRule="auto"/>
              <w:ind w:firstLine="480" w:firstLineChars="200"/>
            </w:pPr>
            <w:r>
              <w:t>③地下水污染途径</w:t>
            </w:r>
            <w:r>
              <w:rPr>
                <w:rFonts w:hint="eastAsia"/>
              </w:rPr>
              <w:t>和方式</w:t>
            </w:r>
          </w:p>
          <w:p>
            <w:pPr>
              <w:spacing w:line="360" w:lineRule="auto"/>
              <w:ind w:firstLine="480" w:firstLineChars="200"/>
              <w:rPr>
                <w:bCs/>
                <w:kern w:val="0"/>
              </w:rPr>
            </w:pPr>
            <w:r>
              <w:rPr>
                <w:rFonts w:hint="eastAsia"/>
                <w:bCs/>
                <w:kern w:val="0"/>
              </w:rPr>
              <w:t>本</w:t>
            </w:r>
            <w:r>
              <w:rPr>
                <w:bCs/>
                <w:kern w:val="0"/>
              </w:rPr>
              <w:t>项目</w:t>
            </w:r>
            <w:r>
              <w:rPr>
                <w:rFonts w:hint="eastAsia"/>
                <w:bCs/>
                <w:kern w:val="0"/>
              </w:rPr>
              <w:t>污水处理厂</w:t>
            </w:r>
            <w:r>
              <w:rPr>
                <w:bCs/>
                <w:kern w:val="0"/>
              </w:rPr>
              <w:t>可能影响地下水的途径</w:t>
            </w:r>
            <w:r>
              <w:rPr>
                <w:rFonts w:hint="eastAsia"/>
                <w:bCs/>
                <w:kern w:val="0"/>
              </w:rPr>
              <w:t>主要表现为两方面</w:t>
            </w:r>
            <w:r>
              <w:rPr>
                <w:bCs/>
                <w:kern w:val="0"/>
              </w:rPr>
              <w:t>：</w:t>
            </w:r>
            <w:r>
              <w:rPr>
                <w:rFonts w:hint="eastAsia"/>
                <w:bCs/>
                <w:kern w:val="0"/>
              </w:rPr>
              <w:t>一是污水处理池发生</w:t>
            </w:r>
            <w:r>
              <w:rPr>
                <w:bCs/>
                <w:kern w:val="0"/>
              </w:rPr>
              <w:t>泄漏</w:t>
            </w:r>
            <w:r>
              <w:rPr>
                <w:rFonts w:hint="eastAsia"/>
                <w:bCs/>
                <w:kern w:val="0"/>
              </w:rPr>
              <w:t>或是“跑冒滴漏”，雨季随着地表径流混入地表水体，最终在地表水和地下水之间的水力联系的作用下，污染区域内的地下水质；二是污水处理池发生渗漏，污水经过土壤层、包气带层直接下渗进入地下含水层，</w:t>
            </w:r>
            <w:r>
              <w:rPr>
                <w:bCs/>
                <w:kern w:val="0"/>
              </w:rPr>
              <w:t>污染地下</w:t>
            </w:r>
            <w:r>
              <w:rPr>
                <w:rFonts w:hint="eastAsia"/>
                <w:bCs/>
                <w:kern w:val="0"/>
              </w:rPr>
              <w:t>潜水层。但这两种事故发生的可能性都非常小。</w:t>
            </w:r>
          </w:p>
          <w:p>
            <w:pPr>
              <w:spacing w:line="360" w:lineRule="auto"/>
              <w:ind w:firstLine="480" w:firstLineChars="200"/>
            </w:pPr>
            <w:r>
              <w:t>④地下水</w:t>
            </w:r>
            <w:r>
              <w:rPr>
                <w:rFonts w:hint="eastAsia"/>
              </w:rPr>
              <w:t>环境</w:t>
            </w:r>
            <w:r>
              <w:t>的影响</w:t>
            </w:r>
            <w:r>
              <w:rPr>
                <w:rFonts w:hint="eastAsia"/>
              </w:rPr>
              <w:t>分析</w:t>
            </w:r>
          </w:p>
          <w:p>
            <w:pPr>
              <w:spacing w:line="360" w:lineRule="auto"/>
              <w:ind w:firstLine="480" w:firstLineChars="200"/>
            </w:pPr>
            <w:r>
              <w:rPr>
                <w:rFonts w:hint="eastAsia"/>
                <w:bCs/>
                <w:kern w:val="0"/>
              </w:rPr>
              <w:t>本项目对地下水的</w:t>
            </w:r>
            <w:r>
              <w:rPr>
                <w:bCs/>
                <w:kern w:val="0"/>
              </w:rPr>
              <w:t>污染程度除受废水污染物成分、浓度及当地的降水、径流和入渗等条件影响外，还受地质结构、岩土成分、厚度、饱和和非饱和渗透性能以及对污染物的吸附滞留能力的影响。</w:t>
            </w:r>
            <w:r>
              <w:t>根据本项目工程分析的生产工艺特征、场所进行分析，可能存在的地下水污染源主要各</w:t>
            </w:r>
            <w:r>
              <w:rPr>
                <w:rFonts w:hint="eastAsia"/>
              </w:rPr>
              <w:t>污水处理单元以及</w:t>
            </w:r>
            <w:r>
              <w:t xml:space="preserve">污水的输送管线等。 </w:t>
            </w:r>
          </w:p>
          <w:p>
            <w:pPr>
              <w:spacing w:line="360" w:lineRule="auto"/>
              <w:ind w:firstLine="480" w:firstLineChars="200"/>
              <w:rPr>
                <w:bCs/>
                <w:kern w:val="0"/>
              </w:rPr>
            </w:pPr>
            <w:r>
              <w:t>本次提标改造</w:t>
            </w:r>
            <w:r>
              <w:rPr>
                <w:rFonts w:hint="eastAsia"/>
              </w:rPr>
              <w:t>邓川、右所污水厂将使用CWT一体化设备，污水生化处理单元均在设备装置内进行，只有调节池利用原有构筑物。</w:t>
            </w:r>
            <w:r>
              <w:rPr>
                <w:rFonts w:hint="eastAsia"/>
                <w:bCs/>
                <w:kern w:val="0"/>
              </w:rPr>
              <w:t>根据项目污水处理厂的设计资料，</w:t>
            </w:r>
            <w:r>
              <w:rPr>
                <w:bCs/>
                <w:kern w:val="0"/>
              </w:rPr>
              <w:t>污水处理的构筑物</w:t>
            </w:r>
            <w:r>
              <w:rPr>
                <w:rFonts w:hint="eastAsia"/>
                <w:bCs/>
                <w:kern w:val="0"/>
              </w:rPr>
              <w:t>在建设过程中均</w:t>
            </w:r>
            <w:r>
              <w:rPr>
                <w:bCs/>
                <w:kern w:val="0"/>
              </w:rPr>
              <w:t>严格按照工程设计规范要求进行建设</w:t>
            </w:r>
            <w:r>
              <w:rPr>
                <w:rFonts w:hint="eastAsia"/>
                <w:bCs/>
                <w:kern w:val="0"/>
              </w:rPr>
              <w:t>，</w:t>
            </w:r>
            <w:r>
              <w:rPr>
                <w:bCs/>
                <w:kern w:val="0"/>
              </w:rPr>
              <w:t>运行至今污水处理工艺的构筑良好，污水的输送采用专用管道沟槽，运行过程中未出现“跑、冒、滴、漏”现象</w:t>
            </w:r>
            <w:r>
              <w:rPr>
                <w:rFonts w:hint="eastAsia"/>
                <w:bCs/>
                <w:kern w:val="0"/>
              </w:rPr>
              <w:t>。</w:t>
            </w:r>
          </w:p>
          <w:p>
            <w:pPr>
              <w:spacing w:line="360" w:lineRule="auto"/>
              <w:ind w:firstLine="480" w:firstLineChars="200"/>
            </w:pPr>
            <w:r>
              <w:rPr>
                <w:rFonts w:hint="eastAsia"/>
                <w:bCs/>
                <w:kern w:val="0"/>
              </w:rPr>
              <w:t>新建牛街污水厂</w:t>
            </w:r>
            <w:r>
              <w:t>污水反应池池属于半地下式储水构筑物，底部采用混凝土浇筑，四面采用钢筋混凝土浇筑。项目先用材料建筑物为C25，</w:t>
            </w:r>
            <w:r>
              <w:rPr>
                <w:rFonts w:hint="eastAsia"/>
              </w:rPr>
              <w:t>储</w:t>
            </w:r>
            <w:r>
              <w:t>水构筑物为C30，抗渗等级为S6，根据《混凝土实用手册》中抗渗标号和渗透系数的关系，S6相当于</w:t>
            </w:r>
            <w:r>
              <w:rPr>
                <w:rFonts w:hint="eastAsia"/>
              </w:rPr>
              <w:t>渗透系数为</w:t>
            </w:r>
            <w:r>
              <w:t>4.91×10</w:t>
            </w:r>
            <w:r>
              <w:rPr>
                <w:vertAlign w:val="superscript"/>
              </w:rPr>
              <w:t>-9</w:t>
            </w:r>
            <w:r>
              <w:t>cm/s</w:t>
            </w:r>
            <w:r>
              <w:rPr>
                <w:rFonts w:hint="eastAsia"/>
              </w:rPr>
              <w:t>，</w:t>
            </w:r>
            <w:r>
              <w:t>可有效的阻止了污水渗入地下。</w:t>
            </w:r>
            <w:r>
              <w:rPr>
                <w:rFonts w:hint="eastAsia"/>
              </w:rPr>
              <w:t>根据设计资料，</w:t>
            </w:r>
            <w:r>
              <w:t>地下部分埋深较浅，</w:t>
            </w:r>
            <w:r>
              <w:rPr>
                <w:rFonts w:hint="eastAsia"/>
              </w:rPr>
              <w:t>不会触及</w:t>
            </w:r>
            <w:r>
              <w:t>地下水位</w:t>
            </w:r>
            <w:r>
              <w:rPr>
                <w:rFonts w:hint="eastAsia"/>
              </w:rPr>
              <w:t>。</w:t>
            </w:r>
          </w:p>
          <w:p>
            <w:pPr>
              <w:spacing w:line="360" w:lineRule="auto"/>
              <w:ind w:firstLine="480" w:firstLineChars="200"/>
            </w:pPr>
            <w:r>
              <w:rPr>
                <w:rFonts w:hint="eastAsia"/>
              </w:rPr>
              <w:t>根据现场调查，</w:t>
            </w:r>
            <w:r>
              <w:rPr>
                <w:bCs/>
                <w:kern w:val="0"/>
              </w:rPr>
              <w:t>厂内道路采用混凝土进行硬化，对污泥干化</w:t>
            </w:r>
            <w:r>
              <w:rPr>
                <w:rFonts w:hint="eastAsia"/>
                <w:bCs/>
                <w:kern w:val="0"/>
              </w:rPr>
              <w:t>在封闭的房内进行，</w:t>
            </w:r>
            <w:r>
              <w:rPr>
                <w:bCs/>
                <w:kern w:val="0"/>
              </w:rPr>
              <w:t>地面进行硬化防渗，在构筑物、道路旁设有绿化，厂内无裸露地表。</w:t>
            </w:r>
            <w:r>
              <w:t>项目区场地有着较好的防渗效果，阻碍污染物进入含水层，不会对浅层地下水产生影响，更不会影响深部承压水。</w:t>
            </w:r>
            <w:r>
              <w:rPr>
                <w:rFonts w:hint="eastAsia"/>
              </w:rPr>
              <w:t>因此，本项目发生污水渗漏和</w:t>
            </w:r>
            <w:r>
              <w:t>跑冒滴漏</w:t>
            </w:r>
            <w:r>
              <w:rPr>
                <w:rFonts w:hint="eastAsia"/>
              </w:rPr>
              <w:t>污染地下水环境事故的</w:t>
            </w:r>
            <w:r>
              <w:t>几率</w:t>
            </w:r>
            <w:r>
              <w:rPr>
                <w:rFonts w:hint="eastAsia"/>
              </w:rPr>
              <w:t>是非常小的。且污水厂紧邻的范围内均不存在地下水取水点，</w:t>
            </w:r>
            <w:r>
              <w:t>周围居民、企业均使用来自水，</w:t>
            </w:r>
            <w:r>
              <w:rPr>
                <w:rFonts w:hint="eastAsia"/>
              </w:rPr>
              <w:t>在做好管理和防范措施的前提下，项目建设</w:t>
            </w:r>
            <w:r>
              <w:t>不会对地下水位产生</w:t>
            </w:r>
            <w:r>
              <w:rPr>
                <w:rFonts w:hint="eastAsia"/>
              </w:rPr>
              <w:t>较大的</w:t>
            </w:r>
            <w:r>
              <w:t>影响。</w:t>
            </w:r>
          </w:p>
          <w:p>
            <w:pPr>
              <w:spacing w:line="360" w:lineRule="auto"/>
              <w:ind w:firstLine="480" w:firstLineChars="200"/>
            </w:pPr>
            <w:r>
              <w:t>⑤防渗措施及管理措施</w:t>
            </w:r>
          </w:p>
          <w:p>
            <w:pPr>
              <w:adjustRightInd w:val="0"/>
              <w:snapToGrid w:val="0"/>
              <w:spacing w:line="360" w:lineRule="auto"/>
              <w:ind w:firstLine="480" w:firstLineChars="200"/>
              <w:rPr>
                <w:szCs w:val="24"/>
              </w:rPr>
            </w:pPr>
            <w:r>
              <w:rPr>
                <w:rFonts w:hint="eastAsia"/>
                <w:szCs w:val="24"/>
              </w:rPr>
              <w:t xml:space="preserve">污水处理厂存在多处地下污水处理池，位于地下的水池如果发生损害并产生渗 漏情况十分隐蔽，不易被发现和及时处理。贯彻执行“预防为主、防治结合”的方 针，本次评价提出以下地下水环境污染防控措施： </w:t>
            </w:r>
          </w:p>
          <w:p>
            <w:pPr>
              <w:adjustRightInd w:val="0"/>
              <w:snapToGrid w:val="0"/>
              <w:spacing w:line="360" w:lineRule="auto"/>
              <w:ind w:firstLine="480" w:firstLineChars="200"/>
              <w:rPr>
                <w:szCs w:val="24"/>
              </w:rPr>
            </w:pPr>
            <w:r>
              <w:rPr>
                <w:rFonts w:hint="eastAsia"/>
                <w:szCs w:val="24"/>
              </w:rPr>
              <w:t>从源头上进行控制，严格按照国家有关规范要求，对管道、设备及相关构筑物 采取相应的防渗措施，以防止污水的跑、冒、滴、漏，将污水泄漏的环境风险事故 降低到最低程度；对场地硬化处理，如有破损，及时修复，严禁下渗污染；管线敷设尽量采用“可视化” 原则，做到污染物“早发现、早处理”。</w:t>
            </w:r>
          </w:p>
          <w:p>
            <w:pPr>
              <w:adjustRightInd w:val="0"/>
              <w:snapToGrid w:val="0"/>
              <w:spacing w:line="360" w:lineRule="auto"/>
              <w:ind w:firstLine="480" w:firstLineChars="200"/>
              <w:rPr>
                <w:szCs w:val="24"/>
              </w:rPr>
            </w:pPr>
            <w:r>
              <w:rPr>
                <w:rFonts w:hint="eastAsia"/>
                <w:szCs w:val="24"/>
              </w:rPr>
              <w:t>运营过程中对污水处理池及其他废水储水构筑物、输送管线设置专门管理人员进行必要的检查时间及周期，及时发现污染物渗漏等事件，采取补救措施。</w:t>
            </w:r>
          </w:p>
          <w:p>
            <w:pPr>
              <w:adjustRightInd w:val="0"/>
              <w:snapToGrid w:val="0"/>
              <w:spacing w:line="360" w:lineRule="auto"/>
              <w:ind w:firstLine="480" w:firstLineChars="200"/>
              <w:rPr>
                <w:szCs w:val="24"/>
              </w:rPr>
            </w:pPr>
            <w:r>
              <w:rPr>
                <w:rFonts w:hint="eastAsia"/>
                <w:szCs w:val="24"/>
              </w:rPr>
              <w:t xml:space="preserve">建议在下游设置专门的地下水污染监控井，以作为日常地下水监控及风险应急 </w:t>
            </w:r>
          </w:p>
          <w:p>
            <w:pPr>
              <w:adjustRightInd w:val="0"/>
              <w:snapToGrid w:val="0"/>
              <w:spacing w:line="360" w:lineRule="auto"/>
              <w:rPr>
                <w:szCs w:val="24"/>
              </w:rPr>
            </w:pPr>
            <w:r>
              <w:rPr>
                <w:rFonts w:hint="eastAsia"/>
                <w:szCs w:val="24"/>
              </w:rPr>
              <w:t>态的地下水监控井。</w:t>
            </w:r>
          </w:p>
          <w:p>
            <w:pPr>
              <w:adjustRightInd w:val="0"/>
              <w:snapToGrid w:val="0"/>
              <w:spacing w:line="360" w:lineRule="auto"/>
              <w:ind w:firstLine="482" w:firstLineChars="200"/>
            </w:pPr>
            <w:r>
              <w:rPr>
                <w:rFonts w:hint="eastAsia"/>
                <w:b/>
                <w:szCs w:val="24"/>
              </w:rPr>
              <w:t>6、土壤环境</w:t>
            </w:r>
            <w:r>
              <w:rPr>
                <w:b/>
                <w:szCs w:val="24"/>
              </w:rPr>
              <w:t>影响分析</w:t>
            </w:r>
          </w:p>
          <w:p>
            <w:pPr>
              <w:adjustRightInd w:val="0"/>
              <w:snapToGrid w:val="0"/>
              <w:spacing w:line="360" w:lineRule="auto"/>
              <w:ind w:firstLine="482" w:firstLineChars="200"/>
              <w:rPr>
                <w:b/>
                <w:bCs/>
              </w:rPr>
            </w:pPr>
            <w:r>
              <w:rPr>
                <w:rFonts w:hint="eastAsia"/>
                <w:b/>
                <w:bCs/>
              </w:rPr>
              <w:t>（1）评价等级的判定</w:t>
            </w:r>
          </w:p>
          <w:p>
            <w:pPr>
              <w:adjustRightInd w:val="0"/>
              <w:snapToGrid w:val="0"/>
              <w:spacing w:line="360" w:lineRule="auto"/>
              <w:ind w:firstLine="480" w:firstLineChars="200"/>
            </w:pPr>
            <w:r>
              <w:t>根据《</w:t>
            </w:r>
            <w:r>
              <w:rPr>
                <w:rFonts w:hint="eastAsia"/>
              </w:rPr>
              <w:t>环境影响评价</w:t>
            </w:r>
            <w:r>
              <w:t>技术导则</w:t>
            </w:r>
            <w:r>
              <w:rPr>
                <w:rFonts w:hint="eastAsia"/>
              </w:rPr>
              <w:t xml:space="preserve">  土壤环境（试行）</w:t>
            </w:r>
            <w:r>
              <w:t>》</w:t>
            </w:r>
            <w:r>
              <w:rPr>
                <w:rFonts w:hint="eastAsia"/>
              </w:rPr>
              <w:t>（HJ964-2018）中污染影响型的土壤环境敏感程度分级、评价工作等级划分表确定本项目的评价工作等级。</w:t>
            </w:r>
          </w:p>
          <w:p>
            <w:pPr>
              <w:adjustRightInd w:val="0"/>
              <w:snapToGrid w:val="0"/>
              <w:spacing w:line="360" w:lineRule="auto"/>
              <w:ind w:firstLine="422" w:firstLineChars="200"/>
              <w:jc w:val="center"/>
              <w:rPr>
                <w:sz w:val="21"/>
                <w:szCs w:val="16"/>
              </w:rPr>
            </w:pPr>
            <w:r>
              <w:rPr>
                <w:b/>
                <w:sz w:val="21"/>
                <w:szCs w:val="18"/>
              </w:rPr>
              <w:t>表</w:t>
            </w:r>
            <w:r>
              <w:rPr>
                <w:rFonts w:hint="eastAsia"/>
                <w:b/>
                <w:sz w:val="21"/>
                <w:szCs w:val="18"/>
              </w:rPr>
              <w:t>7-21</w:t>
            </w:r>
            <w:r>
              <w:rPr>
                <w:b/>
                <w:sz w:val="21"/>
                <w:szCs w:val="18"/>
              </w:rPr>
              <w:t xml:space="preserve"> </w:t>
            </w:r>
            <w:r>
              <w:rPr>
                <w:rFonts w:hint="eastAsia"/>
                <w:b/>
                <w:sz w:val="21"/>
                <w:szCs w:val="16"/>
              </w:rPr>
              <w:t>污染影响型敏感程度分级表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7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08" w:type="dxa"/>
                  <w:vAlign w:val="center"/>
                </w:tcPr>
                <w:p>
                  <w:pPr>
                    <w:adjustRightInd w:val="0"/>
                    <w:snapToGrid w:val="0"/>
                    <w:jc w:val="center"/>
                    <w:rPr>
                      <w:b/>
                      <w:bCs/>
                      <w:kern w:val="0"/>
                      <w:sz w:val="21"/>
                      <w:szCs w:val="21"/>
                    </w:rPr>
                  </w:pPr>
                  <w:r>
                    <w:rPr>
                      <w:rFonts w:hint="eastAsia"/>
                      <w:b/>
                      <w:bCs/>
                      <w:kern w:val="0"/>
                      <w:sz w:val="21"/>
                      <w:szCs w:val="21"/>
                    </w:rPr>
                    <w:t>敏感程度</w:t>
                  </w:r>
                </w:p>
              </w:tc>
              <w:tc>
                <w:tcPr>
                  <w:tcW w:w="7484" w:type="dxa"/>
                  <w:vAlign w:val="center"/>
                </w:tcPr>
                <w:p>
                  <w:pPr>
                    <w:adjustRightInd w:val="0"/>
                    <w:snapToGrid w:val="0"/>
                    <w:jc w:val="center"/>
                    <w:rPr>
                      <w:b/>
                      <w:bCs/>
                      <w:kern w:val="0"/>
                      <w:sz w:val="21"/>
                      <w:szCs w:val="21"/>
                    </w:rPr>
                  </w:pPr>
                  <w:r>
                    <w:rPr>
                      <w:rFonts w:hint="eastAsia"/>
                      <w:b/>
                      <w:bCs/>
                      <w:kern w:val="0"/>
                      <w:sz w:val="21"/>
                      <w:szCs w:val="21"/>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08" w:type="dxa"/>
                  <w:vAlign w:val="center"/>
                </w:tcPr>
                <w:p>
                  <w:pPr>
                    <w:adjustRightInd w:val="0"/>
                    <w:snapToGrid w:val="0"/>
                    <w:jc w:val="center"/>
                    <w:rPr>
                      <w:kern w:val="0"/>
                      <w:sz w:val="21"/>
                      <w:szCs w:val="21"/>
                    </w:rPr>
                  </w:pPr>
                  <w:r>
                    <w:rPr>
                      <w:rFonts w:hint="eastAsia"/>
                      <w:kern w:val="0"/>
                      <w:sz w:val="21"/>
                      <w:szCs w:val="21"/>
                    </w:rPr>
                    <w:t>敏感</w:t>
                  </w:r>
                </w:p>
              </w:tc>
              <w:tc>
                <w:tcPr>
                  <w:tcW w:w="7484" w:type="dxa"/>
                  <w:vAlign w:val="center"/>
                </w:tcPr>
                <w:p>
                  <w:pPr>
                    <w:adjustRightInd w:val="0"/>
                    <w:snapToGrid w:val="0"/>
                    <w:jc w:val="center"/>
                    <w:rPr>
                      <w:kern w:val="0"/>
                      <w:sz w:val="21"/>
                      <w:szCs w:val="21"/>
                    </w:rPr>
                  </w:pPr>
                  <w:r>
                    <w:rPr>
                      <w:rFonts w:hint="eastAsia"/>
                      <w:kern w:val="0"/>
                      <w:sz w:val="21"/>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108" w:type="dxa"/>
                  <w:vAlign w:val="center"/>
                </w:tcPr>
                <w:p>
                  <w:pPr>
                    <w:adjustRightInd w:val="0"/>
                    <w:snapToGrid w:val="0"/>
                    <w:jc w:val="center"/>
                    <w:rPr>
                      <w:kern w:val="0"/>
                      <w:sz w:val="21"/>
                      <w:szCs w:val="21"/>
                    </w:rPr>
                  </w:pPr>
                  <w:r>
                    <w:rPr>
                      <w:rFonts w:hint="eastAsia"/>
                      <w:kern w:val="0"/>
                      <w:sz w:val="21"/>
                      <w:szCs w:val="21"/>
                    </w:rPr>
                    <w:t>较敏感</w:t>
                  </w:r>
                </w:p>
              </w:tc>
              <w:tc>
                <w:tcPr>
                  <w:tcW w:w="7484" w:type="dxa"/>
                  <w:vAlign w:val="center"/>
                </w:tcPr>
                <w:p>
                  <w:pPr>
                    <w:adjustRightInd w:val="0"/>
                    <w:snapToGrid w:val="0"/>
                    <w:jc w:val="center"/>
                    <w:rPr>
                      <w:kern w:val="0"/>
                      <w:sz w:val="21"/>
                      <w:szCs w:val="21"/>
                    </w:rPr>
                  </w:pPr>
                  <w:r>
                    <w:rPr>
                      <w:rFonts w:hint="eastAsia"/>
                      <w:kern w:val="0"/>
                      <w:sz w:val="21"/>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8" w:type="dxa"/>
                  <w:vAlign w:val="center"/>
                </w:tcPr>
                <w:p>
                  <w:pPr>
                    <w:adjustRightInd w:val="0"/>
                    <w:snapToGrid w:val="0"/>
                    <w:jc w:val="center"/>
                    <w:rPr>
                      <w:kern w:val="0"/>
                      <w:sz w:val="21"/>
                      <w:szCs w:val="21"/>
                    </w:rPr>
                  </w:pPr>
                  <w:r>
                    <w:rPr>
                      <w:rFonts w:hint="eastAsia"/>
                      <w:kern w:val="0"/>
                      <w:sz w:val="21"/>
                      <w:szCs w:val="21"/>
                    </w:rPr>
                    <w:t>不敏感</w:t>
                  </w:r>
                </w:p>
              </w:tc>
              <w:tc>
                <w:tcPr>
                  <w:tcW w:w="7484" w:type="dxa"/>
                  <w:vAlign w:val="center"/>
                </w:tcPr>
                <w:p>
                  <w:pPr>
                    <w:adjustRightInd w:val="0"/>
                    <w:snapToGrid w:val="0"/>
                    <w:jc w:val="center"/>
                    <w:rPr>
                      <w:kern w:val="0"/>
                      <w:sz w:val="21"/>
                      <w:szCs w:val="21"/>
                    </w:rPr>
                  </w:pPr>
                  <w:r>
                    <w:rPr>
                      <w:rFonts w:hint="eastAsia"/>
                      <w:kern w:val="0"/>
                      <w:sz w:val="21"/>
                      <w:szCs w:val="21"/>
                    </w:rPr>
                    <w:t>其他情况</w:t>
                  </w:r>
                </w:p>
              </w:tc>
            </w:tr>
          </w:tbl>
          <w:p>
            <w:pPr>
              <w:spacing w:line="360" w:lineRule="auto"/>
              <w:ind w:firstLine="422" w:firstLineChars="200"/>
              <w:jc w:val="center"/>
              <w:rPr>
                <w:b/>
                <w:sz w:val="21"/>
                <w:szCs w:val="16"/>
              </w:rPr>
            </w:pPr>
            <w:r>
              <w:rPr>
                <w:b/>
                <w:sz w:val="21"/>
                <w:szCs w:val="18"/>
              </w:rPr>
              <w:t>表</w:t>
            </w:r>
            <w:r>
              <w:rPr>
                <w:rFonts w:hint="eastAsia"/>
                <w:b/>
                <w:sz w:val="21"/>
                <w:szCs w:val="18"/>
              </w:rPr>
              <w:t>7-22</w:t>
            </w:r>
            <w:r>
              <w:rPr>
                <w:b/>
                <w:sz w:val="21"/>
                <w:szCs w:val="18"/>
              </w:rPr>
              <w:t xml:space="preserve"> </w:t>
            </w:r>
            <w:r>
              <w:rPr>
                <w:rFonts w:hint="eastAsia"/>
                <w:b/>
                <w:sz w:val="21"/>
                <w:szCs w:val="16"/>
              </w:rPr>
              <w:t>污染影响型评价工作等级划分表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661"/>
              <w:gridCol w:w="660"/>
              <w:gridCol w:w="659"/>
              <w:gridCol w:w="660"/>
              <w:gridCol w:w="660"/>
              <w:gridCol w:w="66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Merge w:val="restart"/>
                  <w:vAlign w:val="center"/>
                </w:tcPr>
                <w:p>
                  <w:pPr>
                    <w:adjustRightInd w:val="0"/>
                    <w:snapToGrid w:val="0"/>
                    <w:spacing w:line="360" w:lineRule="auto"/>
                    <w:rPr>
                      <w:b/>
                      <w:bCs/>
                      <w:kern w:val="0"/>
                      <w:sz w:val="21"/>
                      <w:szCs w:val="21"/>
                    </w:rPr>
                  </w:pPr>
                  <w:r>
                    <w:rPr>
                      <w:b/>
                      <w:bCs/>
                      <w:kern w:val="0"/>
                      <w:sz w:val="21"/>
                      <w:szCs w:val="21"/>
                    </w:rPr>
                    <w:pict>
                      <v:shape id="自选图形 1028" o:spid="_x0000_s2457" o:spt="32" type="#_x0000_t32" style="position:absolute;left:0pt;margin-left:31.85pt;margin-top:-0.05pt;height:58.2pt;width:95.1pt;z-index:251662336;mso-width-relative:page;mso-height-relative:page;" filled="f" coordsize="21600,21600">
                        <v:path arrowok="t"/>
                        <v:fill on="f" focussize="0,0"/>
                        <v:stroke weight="0.5pt"/>
                        <v:imagedata o:title=""/>
                        <o:lock v:ext="edit"/>
                      </v:shape>
                    </w:pict>
                  </w:r>
                </w:p>
                <w:p>
                  <w:pPr>
                    <w:adjustRightInd w:val="0"/>
                    <w:snapToGrid w:val="0"/>
                    <w:spacing w:line="360" w:lineRule="auto"/>
                    <w:rPr>
                      <w:b/>
                      <w:bCs/>
                      <w:kern w:val="0"/>
                      <w:sz w:val="21"/>
                      <w:szCs w:val="21"/>
                    </w:rPr>
                  </w:pPr>
                  <w:r>
                    <w:rPr>
                      <w:b/>
                      <w:bCs/>
                      <w:kern w:val="0"/>
                      <w:sz w:val="21"/>
                      <w:szCs w:val="21"/>
                    </w:rPr>
                    <w:pict>
                      <v:shape id="自选图形 1029" o:spid="_x0000_s2458" o:spt="32" type="#_x0000_t32" style="position:absolute;left:0pt;margin-left:-4.6pt;margin-top:13.65pt;height:27.7pt;width:132.1pt;z-index:251663360;mso-width-relative:page;mso-height-relative:page;" filled="f" coordsize="21600,21600">
                        <v:path arrowok="t"/>
                        <v:fill on="f" focussize="0,0"/>
                        <v:stroke weight="0.5pt"/>
                        <v:imagedata o:title=""/>
                        <o:lock v:ext="edit"/>
                      </v:shape>
                    </w:pict>
                  </w:r>
                  <w:r>
                    <w:rPr>
                      <w:rFonts w:hint="eastAsia"/>
                      <w:b/>
                      <w:bCs/>
                      <w:kern w:val="0"/>
                      <w:sz w:val="21"/>
                      <w:szCs w:val="21"/>
                    </w:rPr>
                    <w:t>评价工作等     占地规模</w:t>
                  </w:r>
                </w:p>
                <w:p>
                  <w:pPr>
                    <w:adjustRightInd w:val="0"/>
                    <w:snapToGrid w:val="0"/>
                    <w:spacing w:line="360" w:lineRule="auto"/>
                    <w:rPr>
                      <w:b/>
                      <w:bCs/>
                      <w:kern w:val="0"/>
                      <w:sz w:val="21"/>
                      <w:szCs w:val="21"/>
                    </w:rPr>
                  </w:pPr>
                  <w:r>
                    <w:rPr>
                      <w:rFonts w:hint="eastAsia"/>
                      <w:b/>
                      <w:bCs/>
                      <w:kern w:val="0"/>
                      <w:sz w:val="21"/>
                      <w:szCs w:val="21"/>
                    </w:rPr>
                    <w:t>敏感程度</w:t>
                  </w:r>
                </w:p>
              </w:tc>
              <w:tc>
                <w:tcPr>
                  <w:tcW w:w="1980" w:type="dxa"/>
                  <w:gridSpan w:val="3"/>
                  <w:vAlign w:val="center"/>
                </w:tcPr>
                <w:p>
                  <w:pPr>
                    <w:adjustRightInd w:val="0"/>
                    <w:snapToGrid w:val="0"/>
                    <w:spacing w:line="360" w:lineRule="auto"/>
                    <w:jc w:val="center"/>
                    <w:rPr>
                      <w:b/>
                      <w:bCs/>
                      <w:kern w:val="0"/>
                      <w:sz w:val="21"/>
                      <w:szCs w:val="21"/>
                    </w:rPr>
                  </w:pPr>
                  <w:r>
                    <w:rPr>
                      <w:rFonts w:hint="eastAsia"/>
                      <w:b/>
                      <w:bCs/>
                      <w:kern w:val="0"/>
                      <w:sz w:val="21"/>
                      <w:szCs w:val="21"/>
                    </w:rPr>
                    <w:t>Ⅰ</w:t>
                  </w:r>
                </w:p>
              </w:tc>
              <w:tc>
                <w:tcPr>
                  <w:tcW w:w="1980" w:type="dxa"/>
                  <w:gridSpan w:val="3"/>
                  <w:vAlign w:val="center"/>
                </w:tcPr>
                <w:p>
                  <w:pPr>
                    <w:adjustRightInd w:val="0"/>
                    <w:snapToGrid w:val="0"/>
                    <w:spacing w:line="360" w:lineRule="auto"/>
                    <w:jc w:val="center"/>
                    <w:rPr>
                      <w:b/>
                      <w:bCs/>
                      <w:kern w:val="0"/>
                      <w:sz w:val="21"/>
                      <w:szCs w:val="21"/>
                    </w:rPr>
                  </w:pPr>
                  <w:r>
                    <w:rPr>
                      <w:rFonts w:hint="eastAsia"/>
                      <w:b/>
                      <w:bCs/>
                      <w:kern w:val="0"/>
                      <w:sz w:val="21"/>
                      <w:szCs w:val="21"/>
                    </w:rPr>
                    <w:t>Ⅱ</w:t>
                  </w:r>
                </w:p>
              </w:tc>
              <w:tc>
                <w:tcPr>
                  <w:tcW w:w="1980" w:type="dxa"/>
                  <w:gridSpan w:val="3"/>
                  <w:vAlign w:val="center"/>
                </w:tcPr>
                <w:p>
                  <w:pPr>
                    <w:adjustRightInd w:val="0"/>
                    <w:snapToGrid w:val="0"/>
                    <w:spacing w:line="360" w:lineRule="auto"/>
                    <w:jc w:val="center"/>
                    <w:rPr>
                      <w:b/>
                      <w:bCs/>
                      <w:kern w:val="0"/>
                      <w:sz w:val="21"/>
                      <w:szCs w:val="21"/>
                    </w:rPr>
                  </w:pPr>
                  <w:r>
                    <w:rPr>
                      <w:rFonts w:hint="eastAsia"/>
                      <w:b/>
                      <w:bCs/>
                      <w:kern w:val="0"/>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Merge w:val="continue"/>
                  <w:vAlign w:val="center"/>
                </w:tcPr>
                <w:p>
                  <w:pPr>
                    <w:adjustRightInd w:val="0"/>
                    <w:snapToGrid w:val="0"/>
                    <w:spacing w:line="360" w:lineRule="auto"/>
                    <w:jc w:val="center"/>
                    <w:rPr>
                      <w:b/>
                      <w:bCs/>
                      <w:kern w:val="0"/>
                      <w:sz w:val="21"/>
                      <w:szCs w:val="21"/>
                    </w:rPr>
                  </w:pPr>
                </w:p>
              </w:tc>
              <w:tc>
                <w:tcPr>
                  <w:tcW w:w="661" w:type="dxa"/>
                  <w:vAlign w:val="center"/>
                </w:tcPr>
                <w:p>
                  <w:pPr>
                    <w:adjustRightInd w:val="0"/>
                    <w:snapToGrid w:val="0"/>
                    <w:spacing w:line="360" w:lineRule="auto"/>
                    <w:jc w:val="center"/>
                    <w:rPr>
                      <w:b/>
                      <w:bCs/>
                      <w:kern w:val="0"/>
                      <w:sz w:val="21"/>
                      <w:szCs w:val="21"/>
                    </w:rPr>
                  </w:pPr>
                  <w:r>
                    <w:rPr>
                      <w:rFonts w:hint="eastAsia"/>
                      <w:b/>
                      <w:bCs/>
                      <w:kern w:val="0"/>
                      <w:sz w:val="21"/>
                      <w:szCs w:val="21"/>
                    </w:rPr>
                    <w:t>大</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中</w:t>
                  </w:r>
                </w:p>
              </w:tc>
              <w:tc>
                <w:tcPr>
                  <w:tcW w:w="659" w:type="dxa"/>
                  <w:vAlign w:val="center"/>
                </w:tcPr>
                <w:p>
                  <w:pPr>
                    <w:adjustRightInd w:val="0"/>
                    <w:snapToGrid w:val="0"/>
                    <w:spacing w:line="360" w:lineRule="auto"/>
                    <w:jc w:val="center"/>
                    <w:rPr>
                      <w:b/>
                      <w:bCs/>
                      <w:kern w:val="0"/>
                      <w:sz w:val="21"/>
                      <w:szCs w:val="21"/>
                    </w:rPr>
                  </w:pPr>
                  <w:r>
                    <w:rPr>
                      <w:rFonts w:hint="eastAsia"/>
                      <w:b/>
                      <w:bCs/>
                      <w:kern w:val="0"/>
                      <w:sz w:val="21"/>
                      <w:szCs w:val="21"/>
                    </w:rPr>
                    <w:t>小</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大</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中</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小</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大</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中</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Align w:val="center"/>
                </w:tcPr>
                <w:p>
                  <w:pPr>
                    <w:adjustRightInd w:val="0"/>
                    <w:snapToGrid w:val="0"/>
                    <w:spacing w:line="360" w:lineRule="auto"/>
                    <w:jc w:val="center"/>
                    <w:rPr>
                      <w:kern w:val="0"/>
                      <w:sz w:val="21"/>
                      <w:szCs w:val="21"/>
                    </w:rPr>
                  </w:pPr>
                  <w:r>
                    <w:rPr>
                      <w:rFonts w:hint="eastAsia"/>
                      <w:kern w:val="0"/>
                      <w:sz w:val="21"/>
                      <w:szCs w:val="21"/>
                    </w:rPr>
                    <w:t>敏感</w:t>
                  </w:r>
                </w:p>
              </w:tc>
              <w:tc>
                <w:tcPr>
                  <w:tcW w:w="661"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59"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Align w:val="center"/>
                </w:tcPr>
                <w:p>
                  <w:pPr>
                    <w:adjustRightInd w:val="0"/>
                    <w:snapToGrid w:val="0"/>
                    <w:spacing w:line="360" w:lineRule="auto"/>
                    <w:jc w:val="center"/>
                    <w:rPr>
                      <w:kern w:val="0"/>
                      <w:sz w:val="21"/>
                      <w:szCs w:val="21"/>
                    </w:rPr>
                  </w:pPr>
                  <w:r>
                    <w:rPr>
                      <w:rFonts w:hint="eastAsia"/>
                      <w:kern w:val="0"/>
                      <w:sz w:val="21"/>
                      <w:szCs w:val="21"/>
                    </w:rPr>
                    <w:t>较敏感</w:t>
                  </w:r>
                </w:p>
              </w:tc>
              <w:tc>
                <w:tcPr>
                  <w:tcW w:w="661"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59"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Align w:val="center"/>
                </w:tcPr>
                <w:p>
                  <w:pPr>
                    <w:adjustRightInd w:val="0"/>
                    <w:snapToGrid w:val="0"/>
                    <w:spacing w:line="360" w:lineRule="auto"/>
                    <w:jc w:val="center"/>
                    <w:rPr>
                      <w:kern w:val="0"/>
                      <w:sz w:val="21"/>
                      <w:szCs w:val="21"/>
                    </w:rPr>
                  </w:pPr>
                  <w:r>
                    <w:rPr>
                      <w:rFonts w:hint="eastAsia"/>
                      <w:kern w:val="0"/>
                      <w:sz w:val="21"/>
                      <w:szCs w:val="21"/>
                    </w:rPr>
                    <w:t>不敏感</w:t>
                  </w:r>
                </w:p>
              </w:tc>
              <w:tc>
                <w:tcPr>
                  <w:tcW w:w="661"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59"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94" w:type="dxa"/>
                  <w:gridSpan w:val="10"/>
                  <w:vAlign w:val="center"/>
                </w:tcPr>
                <w:p>
                  <w:pPr>
                    <w:adjustRightInd w:val="0"/>
                    <w:snapToGrid w:val="0"/>
                    <w:spacing w:line="360" w:lineRule="auto"/>
                    <w:jc w:val="center"/>
                    <w:rPr>
                      <w:kern w:val="0"/>
                      <w:sz w:val="21"/>
                      <w:szCs w:val="21"/>
                    </w:rPr>
                  </w:pPr>
                  <w:r>
                    <w:rPr>
                      <w:rFonts w:hint="eastAsia"/>
                      <w:kern w:val="0"/>
                      <w:sz w:val="21"/>
                      <w:szCs w:val="21"/>
                    </w:rPr>
                    <w:t>注：“-”表示可不开展环境土壤环境影响评价工作</w:t>
                  </w:r>
                </w:p>
              </w:tc>
            </w:tr>
          </w:tbl>
          <w:p>
            <w:pPr>
              <w:pStyle w:val="17"/>
              <w:adjustRightInd w:val="0"/>
              <w:snapToGrid w:val="0"/>
              <w:spacing w:beforeLines="50" w:line="360" w:lineRule="auto"/>
              <w:ind w:firstLine="480" w:firstLineChars="200"/>
              <w:rPr>
                <w:rFonts w:ascii="Times New Roman" w:hAnsi="Times New Roman"/>
                <w:szCs w:val="24"/>
              </w:rPr>
            </w:pPr>
            <w:r>
              <w:rPr>
                <w:rFonts w:ascii="Times New Roman" w:hAnsi="Times New Roman"/>
              </w:rPr>
              <w:t>本项目为生活</w:t>
            </w:r>
            <w:r>
              <w:rPr>
                <w:rFonts w:hint="eastAsia" w:ascii="Times New Roman" w:hAnsi="Times New Roman"/>
              </w:rPr>
              <w:t>污水集中收集处理</w:t>
            </w:r>
            <w:r>
              <w:rPr>
                <w:rFonts w:ascii="Times New Roman" w:hAnsi="Times New Roman"/>
              </w:rPr>
              <w:t>工程，根据《环境影响评价技术导则  土壤环境（试行）》（HJ 964-2018）中附录A，本项目土壤环境评级类别属于III类项目。本项目单个污水处理厂占地规模均＜5hm</w:t>
            </w:r>
            <w:r>
              <w:rPr>
                <w:rFonts w:ascii="Times New Roman" w:hAnsi="Times New Roman"/>
                <w:vertAlign w:val="superscript"/>
              </w:rPr>
              <w:t>2</w:t>
            </w:r>
            <w:r>
              <w:rPr>
                <w:rFonts w:ascii="Times New Roman" w:hAnsi="Times New Roman"/>
              </w:rPr>
              <w:t>，属于小型占地规模，但项目邓川污水厂和牛街污水厂周边50m范围内存在耕地、居民土壤环境保护目标。因此，本项目的土壤环境敏感程度为敏感。对照上表的判别依据可知，</w:t>
            </w:r>
            <w:r>
              <w:rPr>
                <w:rFonts w:ascii="Times New Roman" w:hAnsi="Times New Roman"/>
                <w:szCs w:val="24"/>
              </w:rPr>
              <w:t>本项目的土壤环境影响评价工作等级为三级</w:t>
            </w:r>
            <w:r>
              <w:rPr>
                <w:rFonts w:ascii="Times New Roman" w:hAnsi="Times New Roman"/>
              </w:rPr>
              <w:t>，根据《环境影响评价技术导则  土壤环境（试行）》（HJ 964-2018）中预测评价的相关要求，本项目采用定性描述的方法进行预测与评价。</w:t>
            </w:r>
          </w:p>
          <w:p>
            <w:pPr>
              <w:pStyle w:val="70"/>
              <w:adjustRightInd w:val="0"/>
              <w:snapToGrid w:val="0"/>
              <w:spacing w:before="0" w:line="360" w:lineRule="auto"/>
              <w:ind w:firstLine="482"/>
              <w:rPr>
                <w:b/>
                <w:bCs/>
                <w:szCs w:val="24"/>
              </w:rPr>
            </w:pPr>
            <w:r>
              <w:rPr>
                <w:b/>
                <w:bCs/>
                <w:szCs w:val="24"/>
              </w:rPr>
              <w:t>（2）</w:t>
            </w:r>
            <w:r>
              <w:rPr>
                <w:rFonts w:hint="eastAsia"/>
                <w:b/>
                <w:bCs/>
                <w:szCs w:val="24"/>
              </w:rPr>
              <w:t>对</w:t>
            </w:r>
            <w:r>
              <w:rPr>
                <w:b/>
                <w:bCs/>
                <w:szCs w:val="24"/>
              </w:rPr>
              <w:t>土壤环境的影响</w:t>
            </w:r>
            <w:r>
              <w:rPr>
                <w:rFonts w:hint="eastAsia"/>
                <w:b/>
                <w:bCs/>
                <w:szCs w:val="24"/>
              </w:rPr>
              <w:t>途径和方式</w:t>
            </w:r>
          </w:p>
          <w:p>
            <w:pPr>
              <w:pStyle w:val="70"/>
              <w:adjustRightInd w:val="0"/>
              <w:snapToGrid w:val="0"/>
              <w:spacing w:before="0" w:line="360" w:lineRule="auto"/>
              <w:ind w:firstLine="480"/>
              <w:rPr>
                <w:spacing w:val="6"/>
                <w:szCs w:val="24"/>
              </w:rPr>
            </w:pPr>
            <w:r>
              <w:rPr>
                <w:szCs w:val="24"/>
              </w:rPr>
              <w:t>本项目为</w:t>
            </w:r>
            <w:r>
              <w:rPr>
                <w:rFonts w:hint="eastAsia"/>
                <w:szCs w:val="24"/>
              </w:rPr>
              <w:t>污水集中收集处理</w:t>
            </w:r>
            <w:r>
              <w:rPr>
                <w:szCs w:val="24"/>
              </w:rPr>
              <w:t>工程，项目建设对土壤环境的影响途径主要为：污水处理池</w:t>
            </w:r>
            <w:r>
              <w:rPr>
                <w:spacing w:val="6"/>
                <w:szCs w:val="24"/>
              </w:rPr>
              <w:t>泄漏或渗漏以垂直入渗的途径污染土壤层，由于这种渗漏可穿越较厚的土壤层，不仅会造成植物生物的死亡，还会使得土壤结构发生变化，造成土壤性质的改变，造成周围农作物的减产和污染。</w:t>
            </w:r>
          </w:p>
          <w:p>
            <w:pPr>
              <w:pStyle w:val="70"/>
              <w:adjustRightInd w:val="0"/>
              <w:snapToGrid w:val="0"/>
              <w:spacing w:before="0" w:line="360" w:lineRule="auto"/>
              <w:ind w:firstLine="482"/>
              <w:rPr>
                <w:b/>
                <w:bCs/>
                <w:szCs w:val="24"/>
              </w:rPr>
            </w:pPr>
            <w:r>
              <w:rPr>
                <w:b/>
                <w:bCs/>
                <w:szCs w:val="24"/>
              </w:rPr>
              <w:t>（</w:t>
            </w:r>
            <w:r>
              <w:rPr>
                <w:rFonts w:hint="eastAsia"/>
                <w:b/>
                <w:bCs/>
                <w:szCs w:val="24"/>
              </w:rPr>
              <w:t>3</w:t>
            </w:r>
            <w:r>
              <w:rPr>
                <w:b/>
                <w:bCs/>
                <w:szCs w:val="24"/>
              </w:rPr>
              <w:t>）土壤环境的影响分析评价</w:t>
            </w:r>
          </w:p>
          <w:p>
            <w:pPr>
              <w:pStyle w:val="70"/>
              <w:adjustRightInd w:val="0"/>
              <w:snapToGrid w:val="0"/>
              <w:spacing w:before="0" w:line="360" w:lineRule="auto"/>
              <w:ind w:firstLine="480"/>
              <w:rPr>
                <w:szCs w:val="28"/>
              </w:rPr>
            </w:pPr>
            <w:r>
              <w:rPr>
                <w:szCs w:val="24"/>
              </w:rPr>
              <w:t>根据上述地下水环境影响分析，</w:t>
            </w:r>
            <w:r>
              <w:rPr>
                <w:rFonts w:hint="eastAsia"/>
                <w:szCs w:val="24"/>
              </w:rPr>
              <w:t>如果地下水造成污染，定会直接污染土壤层，因此，土壤层是第一道防线，必须做好严格的防渗漏措施。</w:t>
            </w:r>
            <w:r>
              <w:rPr>
                <w:szCs w:val="24"/>
              </w:rPr>
              <w:t>本项目三座</w:t>
            </w:r>
            <w:r>
              <w:rPr>
                <w:kern w:val="0"/>
              </w:rPr>
              <w:t>污水处理的构筑物在建设过程中均严格按照工程设计规范要求进行防渗建设</w:t>
            </w:r>
            <w:r>
              <w:rPr>
                <w:szCs w:val="24"/>
              </w:rPr>
              <w:t>，邓川、右所污水厂均采用一体化设备，生化处理阶段的污水均在设备内进行处理，污水未与地面表层直接接触，调节池等构筑物均进行防渗处理，极大减缓了项目污水泄漏风险。且污水处理厂区域内地面均已经进行硬化处理经过以上措施后，各污水处理池从源头上采取了防渗措施可以有效减少污水发生泄漏事故，降低项目污水泄漏对土壤污染的概率。因此，本项目对土壤环境的影响较小。</w:t>
            </w:r>
          </w:p>
          <w:p>
            <w:pPr>
              <w:spacing w:line="360" w:lineRule="auto"/>
              <w:ind w:firstLine="241" w:firstLineChars="100"/>
              <w:rPr>
                <w:b/>
                <w:bCs/>
              </w:rPr>
            </w:pPr>
            <w:r>
              <w:rPr>
                <w:rFonts w:hint="eastAsia"/>
                <w:b/>
                <w:szCs w:val="24"/>
              </w:rPr>
              <w:t>7、</w:t>
            </w:r>
            <w:r>
              <w:rPr>
                <w:b/>
                <w:szCs w:val="24"/>
              </w:rPr>
              <w:t>环境风险影响分析</w:t>
            </w:r>
          </w:p>
          <w:p>
            <w:pPr>
              <w:autoSpaceDE w:val="0"/>
              <w:autoSpaceDN w:val="0"/>
              <w:spacing w:line="360" w:lineRule="auto"/>
              <w:ind w:firstLine="480" w:firstLineChars="200"/>
            </w:pPr>
            <w:r>
              <w:t>根据《建设项目环境风险评价技术导则》（HJ 169-2018）中的内容“环境风险评价工作等级划分为一级、二级、三级</w:t>
            </w:r>
            <w:r>
              <w:rPr>
                <w:rFonts w:hint="eastAsia"/>
              </w:rPr>
              <w:t>和简单分析</w:t>
            </w:r>
            <w:r>
              <w:t>。根据建设项目涉及的物质及工艺系统危险性和所在地的环境敏感性确定环境风险潜势，按照</w:t>
            </w:r>
            <w:r>
              <w:rPr>
                <w:rFonts w:hint="eastAsia"/>
              </w:rPr>
              <w:t>风险潜势</w:t>
            </w:r>
            <w:r>
              <w:t>确定评价工作等级</w:t>
            </w:r>
          </w:p>
          <w:p>
            <w:pPr>
              <w:autoSpaceDE w:val="0"/>
              <w:autoSpaceDN w:val="0"/>
              <w:spacing w:line="360" w:lineRule="auto"/>
              <w:ind w:firstLine="482" w:firstLineChars="200"/>
              <w:rPr>
                <w:b/>
                <w:bCs/>
              </w:rPr>
            </w:pPr>
            <w:r>
              <w:rPr>
                <w:rFonts w:hint="eastAsia"/>
                <w:b/>
                <w:bCs/>
              </w:rPr>
              <w:t>（1）风险潜势的初判</w:t>
            </w:r>
          </w:p>
          <w:p>
            <w:pPr>
              <w:adjustRightInd w:val="0"/>
              <w:snapToGrid w:val="0"/>
              <w:spacing w:line="500" w:lineRule="exact"/>
              <w:ind w:firstLine="480" w:firstLineChars="200"/>
              <w:rPr>
                <w:szCs w:val="24"/>
              </w:rPr>
            </w:pPr>
            <w:r>
              <w:t>根据《建设项目环境风险评价技术导则》（HJ 169-2018）</w:t>
            </w:r>
            <w:r>
              <w:rPr>
                <w:rFonts w:hint="eastAsia"/>
              </w:rPr>
              <w:t>，</w:t>
            </w:r>
            <w:r>
              <w:rPr>
                <w:szCs w:val="24"/>
              </w:rPr>
              <w:t>计算所涉及的每种危险物质在厂界内的最大存在总量与其在附录B中对应临界量的比值Q。在不同厂区的同一种物质，按其在厂界内的最大存在总量计算。</w:t>
            </w:r>
          </w:p>
          <w:p>
            <w:pPr>
              <w:adjustRightInd w:val="0"/>
              <w:snapToGrid w:val="0"/>
              <w:spacing w:line="500" w:lineRule="exact"/>
              <w:ind w:firstLine="480" w:firstLineChars="200"/>
              <w:rPr>
                <w:szCs w:val="24"/>
              </w:rPr>
            </w:pPr>
            <w:r>
              <w:rPr>
                <w:szCs w:val="24"/>
              </w:rPr>
              <w:t>当只涉及一种危险物质时，计算该物质的总量与其临界量比值，即为Q;</w:t>
            </w:r>
          </w:p>
          <w:p>
            <w:pPr>
              <w:adjustRightInd w:val="0"/>
              <w:snapToGrid w:val="0"/>
              <w:spacing w:line="500" w:lineRule="exact"/>
              <w:ind w:firstLine="480" w:firstLineChars="200"/>
              <w:rPr>
                <w:szCs w:val="24"/>
              </w:rPr>
            </w:pPr>
            <w:r>
              <w:rPr>
                <w:szCs w:val="24"/>
              </w:rPr>
              <w:t>当存在多种危险物质时，则按式(C.1) 计算物质总量与其临界量比值(</w:t>
            </w:r>
            <w:r>
              <w:rPr>
                <w:rFonts w:hint="eastAsia"/>
                <w:szCs w:val="24"/>
              </w:rPr>
              <w:t>Q</w:t>
            </w:r>
            <w:r>
              <w:rPr>
                <w:szCs w:val="24"/>
              </w:rPr>
              <w:t>):</w:t>
            </w:r>
          </w:p>
          <w:p>
            <w:pPr>
              <w:pStyle w:val="85"/>
              <w:snapToGrid w:val="0"/>
              <w:jc w:val="both"/>
              <w:rPr>
                <w:rFonts w:ascii="Times New Roman" w:cs="Times New Roman"/>
              </w:rPr>
            </w:pPr>
            <w:r>
              <w:drawing>
                <wp:anchor distT="0" distB="0" distL="114300" distR="114300" simplePos="0" relativeHeight="251665408" behindDoc="0" locked="0" layoutInCell="1" allowOverlap="1">
                  <wp:simplePos x="0" y="0"/>
                  <wp:positionH relativeFrom="column">
                    <wp:posOffset>1255395</wp:posOffset>
                  </wp:positionH>
                  <wp:positionV relativeFrom="paragraph">
                    <wp:posOffset>27940</wp:posOffset>
                  </wp:positionV>
                  <wp:extent cx="2413635" cy="632460"/>
                  <wp:effectExtent l="19050" t="0" r="5715" b="0"/>
                  <wp:wrapTopAndBottom/>
                  <wp:docPr id="4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
                          <pic:cNvPicPr>
                            <a:picLocks noChangeAspect="1" noChangeArrowheads="1"/>
                          </pic:cNvPicPr>
                        </pic:nvPicPr>
                        <pic:blipFill>
                          <a:blip r:embed="rId29" cstate="print"/>
                          <a:srcRect/>
                          <a:stretch>
                            <a:fillRect/>
                          </a:stretch>
                        </pic:blipFill>
                        <pic:spPr>
                          <a:xfrm>
                            <a:off x="0" y="0"/>
                            <a:ext cx="2413635" cy="632460"/>
                          </a:xfrm>
                          <a:prstGeom prst="rect">
                            <a:avLst/>
                          </a:prstGeom>
                          <a:noFill/>
                          <a:ln w="9525">
                            <a:noFill/>
                            <a:miter lim="800000"/>
                            <a:headEnd/>
                            <a:tailEnd/>
                          </a:ln>
                        </pic:spPr>
                      </pic:pic>
                    </a:graphicData>
                  </a:graphic>
                </wp:anchor>
              </w:drawing>
            </w:r>
            <w:r>
              <w:rPr>
                <w:rFonts w:ascii="Times New Roman" w:cs="Times New Roman"/>
              </w:rPr>
              <w:t>式中：</w:t>
            </w:r>
            <w:r>
              <w:rPr>
                <w:rFonts w:hint="eastAsia" w:ascii="Times New Roman" w:cs="Times New Roman"/>
                <w:i/>
              </w:rPr>
              <w:t>q</w:t>
            </w:r>
            <w:r>
              <w:rPr>
                <w:rFonts w:ascii="Times New Roman" w:cs="Times New Roman"/>
                <w:i/>
                <w:iCs/>
                <w:vertAlign w:val="subscript"/>
              </w:rPr>
              <w:t>1</w:t>
            </w:r>
            <w:r>
              <w:rPr>
                <w:rFonts w:ascii="Times New Roman" w:cs="Times New Roman"/>
                <w:i/>
              </w:rPr>
              <w:t>，</w:t>
            </w:r>
            <w:r>
              <w:rPr>
                <w:rFonts w:hint="eastAsia" w:ascii="Times New Roman" w:cs="Times New Roman"/>
                <w:i/>
              </w:rPr>
              <w:t>q</w:t>
            </w:r>
            <w:r>
              <w:rPr>
                <w:rFonts w:ascii="Times New Roman" w:cs="Times New Roman"/>
                <w:i/>
                <w:iCs/>
                <w:vertAlign w:val="subscript"/>
              </w:rPr>
              <w:t xml:space="preserve"> 2</w:t>
            </w:r>
            <w:r>
              <w:rPr>
                <w:rFonts w:ascii="Times New Roman" w:cs="Times New Roman"/>
                <w:i/>
              </w:rPr>
              <w:t>，…….</w:t>
            </w:r>
            <w:r>
              <w:rPr>
                <w:rFonts w:ascii="Times New Roman" w:cs="Times New Roman"/>
                <w:i/>
                <w:iCs/>
              </w:rPr>
              <w:t>，</w:t>
            </w:r>
            <w:r>
              <w:rPr>
                <w:rFonts w:hint="eastAsia" w:ascii="Times New Roman" w:cs="Times New Roman"/>
                <w:i/>
              </w:rPr>
              <w:t>q</w:t>
            </w:r>
            <w:r>
              <w:rPr>
                <w:rFonts w:ascii="Times New Roman" w:cs="Times New Roman"/>
                <w:i/>
                <w:iCs/>
                <w:vertAlign w:val="subscript"/>
              </w:rPr>
              <w:t xml:space="preserve"> n</w:t>
            </w:r>
            <w:r>
              <w:rPr>
                <w:rFonts w:ascii="Times New Roman" w:cs="Times New Roman"/>
              </w:rPr>
              <w:t>—每种风险物质实际存在量</w:t>
            </w:r>
            <w:r>
              <w:rPr>
                <w:rFonts w:hint="eastAsia" w:ascii="Times New Roman" w:cs="Times New Roman"/>
              </w:rPr>
              <w:t>，t</w:t>
            </w:r>
            <w:r>
              <w:rPr>
                <w:rFonts w:ascii="Times New Roman" w:cs="Times New Roman"/>
              </w:rPr>
              <w:t>；</w:t>
            </w:r>
          </w:p>
          <w:p>
            <w:pPr>
              <w:adjustRightInd w:val="0"/>
              <w:snapToGrid w:val="0"/>
              <w:spacing w:line="500" w:lineRule="exact"/>
              <w:ind w:firstLine="720" w:firstLineChars="300"/>
              <w:rPr>
                <w:szCs w:val="24"/>
              </w:rPr>
            </w:pPr>
            <w:r>
              <w:rPr>
                <w:rFonts w:hint="eastAsia"/>
                <w:i/>
                <w:iCs/>
                <w:szCs w:val="24"/>
              </w:rPr>
              <w:t>Q</w:t>
            </w:r>
            <w:r>
              <w:rPr>
                <w:i/>
                <w:iCs/>
                <w:szCs w:val="24"/>
                <w:vertAlign w:val="subscript"/>
              </w:rPr>
              <w:t>1</w:t>
            </w:r>
            <w:r>
              <w:rPr>
                <w:i/>
                <w:szCs w:val="24"/>
              </w:rPr>
              <w:t>，</w:t>
            </w:r>
            <w:r>
              <w:rPr>
                <w:rFonts w:hint="eastAsia"/>
                <w:i/>
                <w:iCs/>
                <w:szCs w:val="24"/>
              </w:rPr>
              <w:t>Q</w:t>
            </w:r>
            <w:r>
              <w:rPr>
                <w:i/>
                <w:iCs/>
                <w:szCs w:val="24"/>
                <w:vertAlign w:val="subscript"/>
              </w:rPr>
              <w:t>2</w:t>
            </w:r>
            <w:r>
              <w:rPr>
                <w:i/>
                <w:szCs w:val="24"/>
              </w:rPr>
              <w:t>，……</w:t>
            </w:r>
            <w:r>
              <w:rPr>
                <w:i/>
                <w:iCs/>
                <w:szCs w:val="24"/>
              </w:rPr>
              <w:t>，</w:t>
            </w:r>
            <w:r>
              <w:rPr>
                <w:rFonts w:hint="eastAsia"/>
                <w:i/>
                <w:iCs/>
                <w:szCs w:val="24"/>
              </w:rPr>
              <w:t>Q</w:t>
            </w:r>
            <w:r>
              <w:rPr>
                <w:i/>
                <w:iCs/>
                <w:szCs w:val="24"/>
                <w:vertAlign w:val="subscript"/>
              </w:rPr>
              <w:t>n</w:t>
            </w:r>
            <w:r>
              <w:rPr>
                <w:szCs w:val="24"/>
              </w:rPr>
              <w:t>—每种风险物质相对应的临界量</w:t>
            </w:r>
            <w:r>
              <w:rPr>
                <w:rFonts w:hint="eastAsia"/>
                <w:szCs w:val="24"/>
              </w:rPr>
              <w:t>，t</w:t>
            </w:r>
            <w:r>
              <w:rPr>
                <w:szCs w:val="24"/>
              </w:rPr>
              <w:t>。</w:t>
            </w:r>
          </w:p>
          <w:p>
            <w:pPr>
              <w:adjustRightInd w:val="0"/>
              <w:snapToGrid w:val="0"/>
              <w:spacing w:line="500" w:lineRule="exact"/>
              <w:ind w:firstLine="720" w:firstLineChars="300"/>
              <w:rPr>
                <w:szCs w:val="24"/>
              </w:rPr>
            </w:pPr>
            <w:r>
              <w:rPr>
                <w:szCs w:val="24"/>
              </w:rPr>
              <w:t>当Q＜1时，</w:t>
            </w:r>
            <w:r>
              <w:rPr>
                <w:rFonts w:hint="eastAsia"/>
                <w:szCs w:val="24"/>
              </w:rPr>
              <w:t>该项目的风险潜势为Ⅰ</w:t>
            </w:r>
            <w:r>
              <w:rPr>
                <w:szCs w:val="24"/>
              </w:rPr>
              <w:t>。</w:t>
            </w:r>
          </w:p>
          <w:p>
            <w:pPr>
              <w:adjustRightInd w:val="0"/>
              <w:snapToGrid w:val="0"/>
              <w:spacing w:line="500" w:lineRule="exact"/>
              <w:ind w:firstLine="720" w:firstLineChars="300"/>
              <w:rPr>
                <w:szCs w:val="24"/>
              </w:rPr>
            </w:pPr>
            <w:r>
              <w:rPr>
                <w:rFonts w:hint="eastAsia"/>
                <w:szCs w:val="24"/>
              </w:rPr>
              <w:t>当</w:t>
            </w:r>
            <w:r>
              <w:rPr>
                <w:szCs w:val="24"/>
              </w:rPr>
              <w:t>Q</w:t>
            </w:r>
            <w:r>
              <w:rPr>
                <w:rFonts w:hint="eastAsia"/>
                <w:szCs w:val="24"/>
              </w:rPr>
              <w:t>＞</w:t>
            </w:r>
            <w:r>
              <w:rPr>
                <w:szCs w:val="24"/>
              </w:rPr>
              <w:t>1时，</w:t>
            </w:r>
            <w:r>
              <w:rPr>
                <w:rFonts w:hint="eastAsia"/>
                <w:szCs w:val="24"/>
              </w:rPr>
              <w:t>将Q划分为：</w:t>
            </w:r>
            <w:r>
              <w:rPr>
                <w:szCs w:val="24"/>
              </w:rPr>
              <w:t>(1)1≤Q＜10</w:t>
            </w:r>
            <w:r>
              <w:rPr>
                <w:rFonts w:hint="eastAsia"/>
                <w:szCs w:val="24"/>
              </w:rPr>
              <w:t>，</w:t>
            </w:r>
            <w:r>
              <w:rPr>
                <w:szCs w:val="24"/>
              </w:rPr>
              <w:t>(2)10≤Q＜100</w:t>
            </w:r>
            <w:r>
              <w:rPr>
                <w:rFonts w:hint="eastAsia"/>
                <w:szCs w:val="24"/>
              </w:rPr>
              <w:t>，</w:t>
            </w:r>
            <w:r>
              <w:rPr>
                <w:szCs w:val="24"/>
              </w:rPr>
              <w:t>(3)Q≥100，</w:t>
            </w:r>
          </w:p>
          <w:p>
            <w:pPr>
              <w:spacing w:line="360" w:lineRule="auto"/>
              <w:ind w:firstLine="480" w:firstLineChars="200"/>
            </w:pPr>
            <w:r>
              <w:t>本项目</w:t>
            </w:r>
            <w:r>
              <w:rPr>
                <w:rFonts w:hint="eastAsia"/>
              </w:rPr>
              <w:t>污水处理厂</w:t>
            </w:r>
            <w:r>
              <w:t>的环境风险危险物质</w:t>
            </w:r>
            <w:r>
              <w:rPr>
                <w:rFonts w:hint="eastAsia"/>
              </w:rPr>
              <w:t>为项目运营过程中使用的次氯酸钠及产生的废机油，其危险物质数量与临界量比值</w:t>
            </w:r>
            <w:r>
              <w:t>Q 的确定见下表</w:t>
            </w:r>
            <w:r>
              <w:rPr>
                <w:rFonts w:hint="eastAsia"/>
              </w:rPr>
              <w:t>：</w:t>
            </w:r>
          </w:p>
          <w:p>
            <w:pPr>
              <w:adjustRightInd w:val="0"/>
              <w:snapToGrid w:val="0"/>
              <w:spacing w:line="360" w:lineRule="auto"/>
              <w:jc w:val="center"/>
              <w:rPr>
                <w:b/>
                <w:sz w:val="21"/>
                <w:szCs w:val="21"/>
              </w:rPr>
            </w:pPr>
            <w:r>
              <w:rPr>
                <w:b/>
                <w:sz w:val="21"/>
                <w:szCs w:val="21"/>
              </w:rPr>
              <w:t>表7-2</w:t>
            </w:r>
            <w:r>
              <w:rPr>
                <w:rFonts w:hint="eastAsia"/>
                <w:b/>
                <w:sz w:val="21"/>
                <w:szCs w:val="21"/>
              </w:rPr>
              <w:t>3</w:t>
            </w:r>
            <w:r>
              <w:rPr>
                <w:b/>
                <w:sz w:val="21"/>
                <w:szCs w:val="21"/>
              </w:rPr>
              <w:t xml:space="preserve">  建设项目Q值计算一览表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5"/>
              <w:gridCol w:w="1466"/>
              <w:gridCol w:w="1312"/>
              <w:gridCol w:w="1425"/>
              <w:gridCol w:w="1177"/>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Align w:val="center"/>
                </w:tcPr>
                <w:p>
                  <w:pPr>
                    <w:adjustRightInd w:val="0"/>
                    <w:snapToGrid w:val="0"/>
                    <w:jc w:val="center"/>
                    <w:rPr>
                      <w:b/>
                      <w:sz w:val="21"/>
                      <w:szCs w:val="21"/>
                    </w:rPr>
                  </w:pPr>
                  <w:r>
                    <w:rPr>
                      <w:rFonts w:hint="eastAsia"/>
                      <w:b/>
                      <w:sz w:val="21"/>
                      <w:szCs w:val="21"/>
                    </w:rPr>
                    <w:t>项目名称</w:t>
                  </w:r>
                </w:p>
              </w:tc>
              <w:tc>
                <w:tcPr>
                  <w:tcW w:w="1466" w:type="dxa"/>
                  <w:vAlign w:val="center"/>
                </w:tcPr>
                <w:p>
                  <w:pPr>
                    <w:adjustRightInd w:val="0"/>
                    <w:snapToGrid w:val="0"/>
                    <w:jc w:val="center"/>
                    <w:rPr>
                      <w:b/>
                      <w:sz w:val="21"/>
                      <w:szCs w:val="21"/>
                    </w:rPr>
                  </w:pPr>
                  <w:r>
                    <w:rPr>
                      <w:b/>
                      <w:sz w:val="21"/>
                      <w:szCs w:val="21"/>
                    </w:rPr>
                    <w:t>危险物质名称</w:t>
                  </w:r>
                </w:p>
              </w:tc>
              <w:tc>
                <w:tcPr>
                  <w:tcW w:w="1312" w:type="dxa"/>
                  <w:vAlign w:val="center"/>
                </w:tcPr>
                <w:p>
                  <w:pPr>
                    <w:adjustRightInd w:val="0"/>
                    <w:snapToGrid w:val="0"/>
                    <w:jc w:val="center"/>
                    <w:rPr>
                      <w:b/>
                      <w:sz w:val="21"/>
                      <w:szCs w:val="21"/>
                    </w:rPr>
                  </w:pPr>
                  <w:r>
                    <w:rPr>
                      <w:rFonts w:hint="eastAsia"/>
                      <w:b/>
                      <w:sz w:val="21"/>
                      <w:szCs w:val="21"/>
                    </w:rPr>
                    <w:t>年使用/产生量（t）</w:t>
                  </w:r>
                </w:p>
              </w:tc>
              <w:tc>
                <w:tcPr>
                  <w:tcW w:w="1425" w:type="dxa"/>
                  <w:vAlign w:val="center"/>
                </w:tcPr>
                <w:p>
                  <w:pPr>
                    <w:adjustRightInd w:val="0"/>
                    <w:snapToGrid w:val="0"/>
                    <w:jc w:val="center"/>
                    <w:rPr>
                      <w:b/>
                      <w:sz w:val="21"/>
                      <w:szCs w:val="21"/>
                    </w:rPr>
                  </w:pPr>
                  <w:r>
                    <w:rPr>
                      <w:b/>
                      <w:sz w:val="21"/>
                      <w:szCs w:val="21"/>
                    </w:rPr>
                    <w:t>最大暂存量</w:t>
                  </w:r>
                </w:p>
                <w:p>
                  <w:pPr>
                    <w:adjustRightInd w:val="0"/>
                    <w:snapToGrid w:val="0"/>
                    <w:jc w:val="center"/>
                    <w:rPr>
                      <w:b/>
                      <w:sz w:val="21"/>
                      <w:szCs w:val="21"/>
                    </w:rPr>
                  </w:pPr>
                  <w:r>
                    <w:rPr>
                      <w:rFonts w:hint="eastAsia"/>
                      <w:b/>
                      <w:sz w:val="21"/>
                      <w:szCs w:val="21"/>
                    </w:rPr>
                    <w:t>（</w:t>
                  </w:r>
                  <w:r>
                    <w:rPr>
                      <w:b/>
                      <w:sz w:val="21"/>
                      <w:szCs w:val="21"/>
                    </w:rPr>
                    <w:t>q</w:t>
                  </w:r>
                  <w:r>
                    <w:rPr>
                      <w:b/>
                      <w:sz w:val="21"/>
                      <w:szCs w:val="21"/>
                      <w:vertAlign w:val="subscript"/>
                    </w:rPr>
                    <w:t>n</w:t>
                  </w:r>
                  <w:r>
                    <w:rPr>
                      <w:b/>
                      <w:sz w:val="21"/>
                      <w:szCs w:val="21"/>
                    </w:rPr>
                    <w:t>/t</w:t>
                  </w:r>
                  <w:r>
                    <w:rPr>
                      <w:rFonts w:hint="eastAsia"/>
                      <w:b/>
                      <w:sz w:val="21"/>
                      <w:szCs w:val="21"/>
                    </w:rPr>
                    <w:t>）</w:t>
                  </w:r>
                </w:p>
              </w:tc>
              <w:tc>
                <w:tcPr>
                  <w:tcW w:w="1177" w:type="dxa"/>
                  <w:vAlign w:val="center"/>
                </w:tcPr>
                <w:p>
                  <w:pPr>
                    <w:adjustRightInd w:val="0"/>
                    <w:snapToGrid w:val="0"/>
                    <w:jc w:val="center"/>
                    <w:rPr>
                      <w:b/>
                      <w:sz w:val="21"/>
                      <w:szCs w:val="21"/>
                    </w:rPr>
                  </w:pPr>
                  <w:r>
                    <w:rPr>
                      <w:b/>
                      <w:sz w:val="21"/>
                      <w:szCs w:val="21"/>
                    </w:rPr>
                    <w:t>临界量</w:t>
                  </w:r>
                </w:p>
                <w:p>
                  <w:pPr>
                    <w:adjustRightInd w:val="0"/>
                    <w:snapToGrid w:val="0"/>
                    <w:jc w:val="center"/>
                    <w:rPr>
                      <w:b/>
                      <w:sz w:val="21"/>
                      <w:szCs w:val="21"/>
                    </w:rPr>
                  </w:pPr>
                  <w:r>
                    <w:rPr>
                      <w:rFonts w:hint="eastAsia"/>
                      <w:b/>
                      <w:sz w:val="21"/>
                      <w:szCs w:val="21"/>
                    </w:rPr>
                    <w:t>（</w:t>
                  </w:r>
                  <w:r>
                    <w:rPr>
                      <w:b/>
                      <w:sz w:val="21"/>
                      <w:szCs w:val="21"/>
                    </w:rPr>
                    <w:t>Q</w:t>
                  </w:r>
                  <w:r>
                    <w:rPr>
                      <w:b/>
                      <w:sz w:val="21"/>
                      <w:szCs w:val="21"/>
                      <w:vertAlign w:val="subscript"/>
                    </w:rPr>
                    <w:t>n</w:t>
                  </w:r>
                  <w:r>
                    <w:rPr>
                      <w:b/>
                      <w:sz w:val="21"/>
                      <w:szCs w:val="21"/>
                    </w:rPr>
                    <w:t>/t</w:t>
                  </w:r>
                  <w:r>
                    <w:rPr>
                      <w:rFonts w:hint="eastAsia"/>
                      <w:b/>
                      <w:sz w:val="21"/>
                      <w:szCs w:val="21"/>
                    </w:rPr>
                    <w:t>）</w:t>
                  </w:r>
                </w:p>
              </w:tc>
              <w:tc>
                <w:tcPr>
                  <w:tcW w:w="1823" w:type="dxa"/>
                  <w:vAlign w:val="center"/>
                </w:tcPr>
                <w:p>
                  <w:pPr>
                    <w:adjustRightInd w:val="0"/>
                    <w:snapToGrid w:val="0"/>
                    <w:jc w:val="center"/>
                    <w:rPr>
                      <w:b/>
                      <w:sz w:val="21"/>
                      <w:szCs w:val="21"/>
                    </w:rPr>
                  </w:pPr>
                  <w:r>
                    <w:rPr>
                      <w:b/>
                      <w:sz w:val="21"/>
                      <w:szCs w:val="21"/>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restart"/>
                  <w:vAlign w:val="center"/>
                </w:tcPr>
                <w:p>
                  <w:pPr>
                    <w:jc w:val="center"/>
                    <w:rPr>
                      <w:sz w:val="21"/>
                      <w:szCs w:val="21"/>
                    </w:rPr>
                  </w:pPr>
                  <w:r>
                    <w:rPr>
                      <w:rFonts w:hint="eastAsia"/>
                      <w:sz w:val="21"/>
                      <w:szCs w:val="21"/>
                    </w:rPr>
                    <w:t>邓川污水厂</w:t>
                  </w:r>
                </w:p>
              </w:tc>
              <w:tc>
                <w:tcPr>
                  <w:tcW w:w="1466" w:type="dxa"/>
                  <w:vAlign w:val="center"/>
                </w:tcPr>
                <w:p>
                  <w:pPr>
                    <w:jc w:val="center"/>
                    <w:rPr>
                      <w:sz w:val="21"/>
                      <w:szCs w:val="21"/>
                    </w:rPr>
                  </w:pPr>
                  <w:r>
                    <w:rPr>
                      <w:rFonts w:hint="eastAsia"/>
                      <w:sz w:val="21"/>
                      <w:szCs w:val="21"/>
                    </w:rPr>
                    <w:t>次氯酸钠</w:t>
                  </w:r>
                </w:p>
              </w:tc>
              <w:tc>
                <w:tcPr>
                  <w:tcW w:w="1312" w:type="dxa"/>
                  <w:vAlign w:val="center"/>
                </w:tcPr>
                <w:p>
                  <w:pPr>
                    <w:jc w:val="center"/>
                    <w:rPr>
                      <w:sz w:val="21"/>
                      <w:szCs w:val="21"/>
                    </w:rPr>
                  </w:pPr>
                  <w:r>
                    <w:rPr>
                      <w:rFonts w:hint="eastAsia"/>
                      <w:sz w:val="21"/>
                      <w:szCs w:val="21"/>
                    </w:rPr>
                    <w:t>460</w:t>
                  </w:r>
                </w:p>
              </w:tc>
              <w:tc>
                <w:tcPr>
                  <w:tcW w:w="1425" w:type="dxa"/>
                  <w:vAlign w:val="center"/>
                </w:tcPr>
                <w:p>
                  <w:pPr>
                    <w:jc w:val="center"/>
                    <w:rPr>
                      <w:sz w:val="21"/>
                      <w:szCs w:val="21"/>
                    </w:rPr>
                  </w:pPr>
                  <w:r>
                    <w:rPr>
                      <w:rFonts w:hint="eastAsia"/>
                      <w:sz w:val="21"/>
                      <w:szCs w:val="21"/>
                    </w:rPr>
                    <w:t>2</w:t>
                  </w:r>
                </w:p>
              </w:tc>
              <w:tc>
                <w:tcPr>
                  <w:tcW w:w="1177" w:type="dxa"/>
                  <w:vAlign w:val="center"/>
                </w:tcPr>
                <w:p>
                  <w:pPr>
                    <w:jc w:val="center"/>
                    <w:rPr>
                      <w:sz w:val="21"/>
                      <w:szCs w:val="21"/>
                    </w:rPr>
                  </w:pPr>
                  <w:r>
                    <w:rPr>
                      <w:rFonts w:hint="eastAsia"/>
                      <w:sz w:val="21"/>
                      <w:szCs w:val="21"/>
                    </w:rPr>
                    <w:t>5</w:t>
                  </w:r>
                </w:p>
              </w:tc>
              <w:tc>
                <w:tcPr>
                  <w:tcW w:w="1823" w:type="dxa"/>
                  <w:vAlign w:val="center"/>
                </w:tcPr>
                <w:p>
                  <w:pPr>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continue"/>
                  <w:vAlign w:val="center"/>
                </w:tcPr>
                <w:p>
                  <w:pPr>
                    <w:jc w:val="center"/>
                    <w:rPr>
                      <w:sz w:val="21"/>
                      <w:szCs w:val="21"/>
                    </w:rPr>
                  </w:pPr>
                </w:p>
              </w:tc>
              <w:tc>
                <w:tcPr>
                  <w:tcW w:w="1466" w:type="dxa"/>
                  <w:vAlign w:val="center"/>
                </w:tcPr>
                <w:p>
                  <w:pPr>
                    <w:jc w:val="center"/>
                    <w:rPr>
                      <w:sz w:val="21"/>
                      <w:szCs w:val="21"/>
                    </w:rPr>
                  </w:pPr>
                  <w:r>
                    <w:rPr>
                      <w:rFonts w:hint="eastAsia"/>
                      <w:sz w:val="21"/>
                      <w:szCs w:val="21"/>
                    </w:rPr>
                    <w:t>废机油</w:t>
                  </w:r>
                </w:p>
              </w:tc>
              <w:tc>
                <w:tcPr>
                  <w:tcW w:w="1312" w:type="dxa"/>
                  <w:vAlign w:val="center"/>
                </w:tcPr>
                <w:p>
                  <w:pPr>
                    <w:jc w:val="center"/>
                    <w:rPr>
                      <w:sz w:val="21"/>
                      <w:szCs w:val="21"/>
                    </w:rPr>
                  </w:pPr>
                  <w:r>
                    <w:rPr>
                      <w:rFonts w:hint="eastAsia"/>
                      <w:sz w:val="21"/>
                      <w:szCs w:val="21"/>
                    </w:rPr>
                    <w:t>1.2</w:t>
                  </w:r>
                </w:p>
              </w:tc>
              <w:tc>
                <w:tcPr>
                  <w:tcW w:w="1425" w:type="dxa"/>
                  <w:vAlign w:val="center"/>
                </w:tcPr>
                <w:p>
                  <w:pPr>
                    <w:jc w:val="center"/>
                    <w:rPr>
                      <w:sz w:val="21"/>
                      <w:szCs w:val="21"/>
                    </w:rPr>
                  </w:pPr>
                  <w:r>
                    <w:rPr>
                      <w:rFonts w:hint="eastAsia"/>
                      <w:sz w:val="21"/>
                      <w:szCs w:val="21"/>
                    </w:rPr>
                    <w:t>1.2</w:t>
                  </w:r>
                </w:p>
              </w:tc>
              <w:tc>
                <w:tcPr>
                  <w:tcW w:w="1177" w:type="dxa"/>
                  <w:vAlign w:val="center"/>
                </w:tcPr>
                <w:p>
                  <w:pPr>
                    <w:jc w:val="center"/>
                    <w:rPr>
                      <w:sz w:val="21"/>
                      <w:szCs w:val="21"/>
                    </w:rPr>
                  </w:pPr>
                  <w:r>
                    <w:rPr>
                      <w:rFonts w:hint="eastAsia"/>
                      <w:sz w:val="21"/>
                      <w:szCs w:val="21"/>
                    </w:rPr>
                    <w:t>2500</w:t>
                  </w:r>
                </w:p>
              </w:tc>
              <w:tc>
                <w:tcPr>
                  <w:tcW w:w="1823" w:type="dxa"/>
                  <w:vAlign w:val="center"/>
                </w:tcPr>
                <w:p>
                  <w:pPr>
                    <w:jc w:val="center"/>
                    <w:rPr>
                      <w:sz w:val="21"/>
                      <w:szCs w:val="21"/>
                    </w:rPr>
                  </w:pPr>
                  <w:r>
                    <w:rPr>
                      <w:rFonts w:hint="eastAsia"/>
                      <w:sz w:val="21"/>
                      <w:szCs w:val="21"/>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restart"/>
                  <w:vAlign w:val="center"/>
                </w:tcPr>
                <w:p>
                  <w:pPr>
                    <w:jc w:val="center"/>
                    <w:rPr>
                      <w:sz w:val="21"/>
                      <w:szCs w:val="21"/>
                    </w:rPr>
                  </w:pPr>
                  <w:r>
                    <w:rPr>
                      <w:rFonts w:hint="eastAsia"/>
                      <w:sz w:val="21"/>
                      <w:szCs w:val="21"/>
                    </w:rPr>
                    <w:t>右所污水厂</w:t>
                  </w:r>
                </w:p>
              </w:tc>
              <w:tc>
                <w:tcPr>
                  <w:tcW w:w="1466" w:type="dxa"/>
                  <w:vAlign w:val="center"/>
                </w:tcPr>
                <w:p>
                  <w:pPr>
                    <w:jc w:val="center"/>
                    <w:rPr>
                      <w:sz w:val="21"/>
                      <w:szCs w:val="21"/>
                    </w:rPr>
                  </w:pPr>
                  <w:r>
                    <w:rPr>
                      <w:rFonts w:hint="eastAsia"/>
                      <w:sz w:val="21"/>
                      <w:szCs w:val="21"/>
                    </w:rPr>
                    <w:t>次氯酸钠</w:t>
                  </w:r>
                </w:p>
              </w:tc>
              <w:tc>
                <w:tcPr>
                  <w:tcW w:w="1312" w:type="dxa"/>
                  <w:vAlign w:val="center"/>
                </w:tcPr>
                <w:p>
                  <w:pPr>
                    <w:jc w:val="center"/>
                    <w:rPr>
                      <w:sz w:val="21"/>
                      <w:szCs w:val="21"/>
                    </w:rPr>
                  </w:pPr>
                  <w:r>
                    <w:rPr>
                      <w:rFonts w:hint="eastAsia"/>
                      <w:sz w:val="21"/>
                      <w:szCs w:val="21"/>
                    </w:rPr>
                    <w:t>460</w:t>
                  </w:r>
                </w:p>
              </w:tc>
              <w:tc>
                <w:tcPr>
                  <w:tcW w:w="1425" w:type="dxa"/>
                  <w:vAlign w:val="center"/>
                </w:tcPr>
                <w:p>
                  <w:pPr>
                    <w:jc w:val="center"/>
                    <w:rPr>
                      <w:sz w:val="21"/>
                      <w:szCs w:val="21"/>
                    </w:rPr>
                  </w:pPr>
                  <w:r>
                    <w:rPr>
                      <w:rFonts w:hint="eastAsia"/>
                      <w:sz w:val="21"/>
                      <w:szCs w:val="21"/>
                    </w:rPr>
                    <w:t>2</w:t>
                  </w:r>
                </w:p>
              </w:tc>
              <w:tc>
                <w:tcPr>
                  <w:tcW w:w="1177" w:type="dxa"/>
                  <w:vAlign w:val="center"/>
                </w:tcPr>
                <w:p>
                  <w:pPr>
                    <w:jc w:val="center"/>
                    <w:rPr>
                      <w:sz w:val="21"/>
                      <w:szCs w:val="21"/>
                    </w:rPr>
                  </w:pPr>
                  <w:r>
                    <w:rPr>
                      <w:rFonts w:hint="eastAsia"/>
                      <w:sz w:val="21"/>
                      <w:szCs w:val="21"/>
                    </w:rPr>
                    <w:t>5</w:t>
                  </w:r>
                </w:p>
              </w:tc>
              <w:tc>
                <w:tcPr>
                  <w:tcW w:w="1823" w:type="dxa"/>
                  <w:vAlign w:val="center"/>
                </w:tcPr>
                <w:p>
                  <w:pPr>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continue"/>
                  <w:vAlign w:val="center"/>
                </w:tcPr>
                <w:p>
                  <w:pPr>
                    <w:jc w:val="center"/>
                    <w:rPr>
                      <w:sz w:val="21"/>
                      <w:szCs w:val="21"/>
                    </w:rPr>
                  </w:pPr>
                </w:p>
              </w:tc>
              <w:tc>
                <w:tcPr>
                  <w:tcW w:w="1466" w:type="dxa"/>
                  <w:vAlign w:val="center"/>
                </w:tcPr>
                <w:p>
                  <w:pPr>
                    <w:jc w:val="center"/>
                    <w:rPr>
                      <w:sz w:val="21"/>
                      <w:szCs w:val="21"/>
                    </w:rPr>
                  </w:pPr>
                  <w:r>
                    <w:rPr>
                      <w:rFonts w:hint="eastAsia"/>
                      <w:sz w:val="21"/>
                      <w:szCs w:val="21"/>
                    </w:rPr>
                    <w:t>废机油</w:t>
                  </w:r>
                </w:p>
              </w:tc>
              <w:tc>
                <w:tcPr>
                  <w:tcW w:w="1312" w:type="dxa"/>
                  <w:vAlign w:val="center"/>
                </w:tcPr>
                <w:p>
                  <w:pPr>
                    <w:jc w:val="center"/>
                    <w:rPr>
                      <w:sz w:val="21"/>
                      <w:szCs w:val="21"/>
                    </w:rPr>
                  </w:pPr>
                  <w:r>
                    <w:rPr>
                      <w:rFonts w:hint="eastAsia"/>
                      <w:sz w:val="21"/>
                      <w:szCs w:val="21"/>
                    </w:rPr>
                    <w:t>1.2</w:t>
                  </w:r>
                </w:p>
              </w:tc>
              <w:tc>
                <w:tcPr>
                  <w:tcW w:w="1425" w:type="dxa"/>
                  <w:vAlign w:val="center"/>
                </w:tcPr>
                <w:p>
                  <w:pPr>
                    <w:jc w:val="center"/>
                    <w:rPr>
                      <w:sz w:val="21"/>
                      <w:szCs w:val="21"/>
                    </w:rPr>
                  </w:pPr>
                  <w:r>
                    <w:rPr>
                      <w:rFonts w:hint="eastAsia"/>
                      <w:sz w:val="21"/>
                      <w:szCs w:val="21"/>
                    </w:rPr>
                    <w:t>1.2</w:t>
                  </w:r>
                </w:p>
              </w:tc>
              <w:tc>
                <w:tcPr>
                  <w:tcW w:w="1177" w:type="dxa"/>
                  <w:vAlign w:val="center"/>
                </w:tcPr>
                <w:p>
                  <w:pPr>
                    <w:jc w:val="center"/>
                    <w:rPr>
                      <w:sz w:val="21"/>
                      <w:szCs w:val="21"/>
                    </w:rPr>
                  </w:pPr>
                  <w:r>
                    <w:rPr>
                      <w:rFonts w:hint="eastAsia"/>
                      <w:sz w:val="21"/>
                      <w:szCs w:val="21"/>
                    </w:rPr>
                    <w:t>2500</w:t>
                  </w:r>
                </w:p>
              </w:tc>
              <w:tc>
                <w:tcPr>
                  <w:tcW w:w="1823" w:type="dxa"/>
                  <w:vAlign w:val="center"/>
                </w:tcPr>
                <w:p>
                  <w:pPr>
                    <w:jc w:val="center"/>
                    <w:rPr>
                      <w:sz w:val="21"/>
                      <w:szCs w:val="21"/>
                    </w:rPr>
                  </w:pPr>
                  <w:r>
                    <w:rPr>
                      <w:rFonts w:hint="eastAsia"/>
                      <w:sz w:val="21"/>
                      <w:szCs w:val="21"/>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restart"/>
                  <w:vAlign w:val="center"/>
                </w:tcPr>
                <w:p>
                  <w:pPr>
                    <w:jc w:val="center"/>
                    <w:rPr>
                      <w:sz w:val="21"/>
                      <w:szCs w:val="21"/>
                    </w:rPr>
                  </w:pPr>
                  <w:r>
                    <w:rPr>
                      <w:rFonts w:hint="eastAsia"/>
                      <w:sz w:val="21"/>
                      <w:szCs w:val="21"/>
                    </w:rPr>
                    <w:t>牛街污水厂</w:t>
                  </w:r>
                </w:p>
              </w:tc>
              <w:tc>
                <w:tcPr>
                  <w:tcW w:w="1466" w:type="dxa"/>
                  <w:vAlign w:val="center"/>
                </w:tcPr>
                <w:p>
                  <w:pPr>
                    <w:jc w:val="center"/>
                    <w:rPr>
                      <w:sz w:val="21"/>
                      <w:szCs w:val="21"/>
                    </w:rPr>
                  </w:pPr>
                  <w:r>
                    <w:rPr>
                      <w:rFonts w:hint="eastAsia"/>
                      <w:sz w:val="21"/>
                      <w:szCs w:val="21"/>
                    </w:rPr>
                    <w:t>次氯酸钠</w:t>
                  </w:r>
                </w:p>
              </w:tc>
              <w:tc>
                <w:tcPr>
                  <w:tcW w:w="1312" w:type="dxa"/>
                  <w:vAlign w:val="center"/>
                </w:tcPr>
                <w:p>
                  <w:pPr>
                    <w:jc w:val="center"/>
                    <w:rPr>
                      <w:sz w:val="21"/>
                      <w:szCs w:val="21"/>
                    </w:rPr>
                  </w:pPr>
                  <w:r>
                    <w:rPr>
                      <w:rFonts w:hint="eastAsia"/>
                      <w:sz w:val="21"/>
                      <w:szCs w:val="21"/>
                    </w:rPr>
                    <w:t>460</w:t>
                  </w:r>
                </w:p>
              </w:tc>
              <w:tc>
                <w:tcPr>
                  <w:tcW w:w="1425" w:type="dxa"/>
                  <w:vAlign w:val="center"/>
                </w:tcPr>
                <w:p>
                  <w:pPr>
                    <w:jc w:val="center"/>
                    <w:rPr>
                      <w:sz w:val="21"/>
                      <w:szCs w:val="21"/>
                    </w:rPr>
                  </w:pPr>
                  <w:r>
                    <w:rPr>
                      <w:rFonts w:hint="eastAsia"/>
                      <w:sz w:val="21"/>
                      <w:szCs w:val="21"/>
                    </w:rPr>
                    <w:t>2</w:t>
                  </w:r>
                </w:p>
              </w:tc>
              <w:tc>
                <w:tcPr>
                  <w:tcW w:w="1177" w:type="dxa"/>
                  <w:vAlign w:val="center"/>
                </w:tcPr>
                <w:p>
                  <w:pPr>
                    <w:jc w:val="center"/>
                    <w:rPr>
                      <w:sz w:val="21"/>
                      <w:szCs w:val="21"/>
                    </w:rPr>
                  </w:pPr>
                  <w:r>
                    <w:rPr>
                      <w:rFonts w:hint="eastAsia"/>
                      <w:sz w:val="21"/>
                      <w:szCs w:val="21"/>
                    </w:rPr>
                    <w:t>5</w:t>
                  </w:r>
                </w:p>
              </w:tc>
              <w:tc>
                <w:tcPr>
                  <w:tcW w:w="1823" w:type="dxa"/>
                  <w:vAlign w:val="center"/>
                </w:tcPr>
                <w:p>
                  <w:pPr>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continue"/>
                  <w:vAlign w:val="center"/>
                </w:tcPr>
                <w:p>
                  <w:pPr>
                    <w:jc w:val="center"/>
                    <w:rPr>
                      <w:sz w:val="21"/>
                      <w:szCs w:val="21"/>
                    </w:rPr>
                  </w:pPr>
                </w:p>
              </w:tc>
              <w:tc>
                <w:tcPr>
                  <w:tcW w:w="1466" w:type="dxa"/>
                  <w:vAlign w:val="center"/>
                </w:tcPr>
                <w:p>
                  <w:pPr>
                    <w:jc w:val="center"/>
                    <w:rPr>
                      <w:sz w:val="21"/>
                      <w:szCs w:val="21"/>
                    </w:rPr>
                  </w:pPr>
                  <w:r>
                    <w:rPr>
                      <w:rFonts w:hint="eastAsia"/>
                      <w:sz w:val="21"/>
                      <w:szCs w:val="21"/>
                    </w:rPr>
                    <w:t>废机油</w:t>
                  </w:r>
                </w:p>
              </w:tc>
              <w:tc>
                <w:tcPr>
                  <w:tcW w:w="1312" w:type="dxa"/>
                  <w:vAlign w:val="center"/>
                </w:tcPr>
                <w:p>
                  <w:pPr>
                    <w:jc w:val="center"/>
                    <w:rPr>
                      <w:sz w:val="21"/>
                      <w:szCs w:val="21"/>
                    </w:rPr>
                  </w:pPr>
                  <w:r>
                    <w:rPr>
                      <w:rFonts w:hint="eastAsia"/>
                      <w:sz w:val="21"/>
                      <w:szCs w:val="21"/>
                    </w:rPr>
                    <w:t>1.2</w:t>
                  </w:r>
                </w:p>
              </w:tc>
              <w:tc>
                <w:tcPr>
                  <w:tcW w:w="1425" w:type="dxa"/>
                  <w:vAlign w:val="center"/>
                </w:tcPr>
                <w:p>
                  <w:pPr>
                    <w:jc w:val="center"/>
                    <w:rPr>
                      <w:sz w:val="21"/>
                      <w:szCs w:val="21"/>
                    </w:rPr>
                  </w:pPr>
                  <w:r>
                    <w:rPr>
                      <w:rFonts w:hint="eastAsia"/>
                      <w:sz w:val="21"/>
                      <w:szCs w:val="21"/>
                    </w:rPr>
                    <w:t>1.2</w:t>
                  </w:r>
                </w:p>
              </w:tc>
              <w:tc>
                <w:tcPr>
                  <w:tcW w:w="1177" w:type="dxa"/>
                  <w:vAlign w:val="center"/>
                </w:tcPr>
                <w:p>
                  <w:pPr>
                    <w:jc w:val="center"/>
                    <w:rPr>
                      <w:sz w:val="21"/>
                      <w:szCs w:val="21"/>
                    </w:rPr>
                  </w:pPr>
                  <w:r>
                    <w:rPr>
                      <w:rFonts w:hint="eastAsia"/>
                      <w:sz w:val="21"/>
                      <w:szCs w:val="21"/>
                    </w:rPr>
                    <w:t>2500</w:t>
                  </w:r>
                </w:p>
              </w:tc>
              <w:tc>
                <w:tcPr>
                  <w:tcW w:w="1823" w:type="dxa"/>
                  <w:vAlign w:val="center"/>
                </w:tcPr>
                <w:p>
                  <w:pPr>
                    <w:jc w:val="center"/>
                    <w:rPr>
                      <w:sz w:val="21"/>
                      <w:szCs w:val="21"/>
                    </w:rPr>
                  </w:pPr>
                  <w:r>
                    <w:rPr>
                      <w:rFonts w:hint="eastAsia"/>
                      <w:sz w:val="21"/>
                      <w:szCs w:val="21"/>
                    </w:rPr>
                    <w:t>0.00048</w:t>
                  </w:r>
                </w:p>
              </w:tc>
            </w:tr>
          </w:tbl>
          <w:p>
            <w:pPr>
              <w:autoSpaceDE w:val="0"/>
              <w:autoSpaceDN w:val="0"/>
              <w:spacing w:line="360" w:lineRule="auto"/>
              <w:ind w:firstLine="480" w:firstLineChars="200"/>
              <w:rPr>
                <w:b/>
                <w:bCs/>
              </w:rPr>
            </w:pPr>
            <w:r>
              <w:rPr>
                <w:rFonts w:hint="eastAsia"/>
                <w:szCs w:val="24"/>
              </w:rPr>
              <w:t>通过上述分析，</w:t>
            </w:r>
            <w:r>
              <w:rPr>
                <w:szCs w:val="24"/>
              </w:rPr>
              <w:t>本项目</w:t>
            </w:r>
            <w:r>
              <w:rPr>
                <w:rFonts w:hint="eastAsia"/>
                <w:szCs w:val="24"/>
              </w:rPr>
              <w:t>三座污水处理厂的各危险物质数量与临界量比值</w:t>
            </w:r>
            <w:r>
              <w:rPr>
                <w:szCs w:val="24"/>
              </w:rPr>
              <w:t xml:space="preserve">Q </w:t>
            </w:r>
            <w:r>
              <w:rPr>
                <w:rFonts w:hint="eastAsia"/>
                <w:szCs w:val="24"/>
              </w:rPr>
              <w:t>=0.40048＜1，确定</w:t>
            </w:r>
            <w:r>
              <w:rPr>
                <w:szCs w:val="24"/>
              </w:rPr>
              <w:t>本项目</w:t>
            </w:r>
            <w:r>
              <w:rPr>
                <w:rFonts w:hint="eastAsia"/>
                <w:szCs w:val="24"/>
              </w:rPr>
              <w:t>三座污水厂的环境风险潜势均为Ⅰ级。</w:t>
            </w:r>
          </w:p>
          <w:p>
            <w:pPr>
              <w:autoSpaceDE w:val="0"/>
              <w:autoSpaceDN w:val="0"/>
              <w:spacing w:line="360" w:lineRule="auto"/>
              <w:ind w:firstLine="482" w:firstLineChars="200"/>
              <w:rPr>
                <w:b/>
                <w:bCs/>
              </w:rPr>
            </w:pPr>
            <w:r>
              <w:rPr>
                <w:rFonts w:hint="eastAsia"/>
                <w:b/>
                <w:bCs/>
              </w:rPr>
              <w:t>（2）评价等级的判定</w:t>
            </w:r>
          </w:p>
          <w:p>
            <w:pPr>
              <w:adjustRightInd w:val="0"/>
              <w:snapToGrid w:val="0"/>
              <w:spacing w:line="360" w:lineRule="auto"/>
              <w:ind w:firstLine="422" w:firstLineChars="200"/>
              <w:jc w:val="center"/>
              <w:rPr>
                <w:sz w:val="21"/>
                <w:szCs w:val="21"/>
              </w:rPr>
            </w:pPr>
            <w:r>
              <w:rPr>
                <w:b/>
                <w:sz w:val="21"/>
                <w:szCs w:val="18"/>
              </w:rPr>
              <w:t>表</w:t>
            </w:r>
            <w:r>
              <w:rPr>
                <w:rFonts w:hint="eastAsia"/>
                <w:b/>
                <w:sz w:val="21"/>
                <w:szCs w:val="18"/>
              </w:rPr>
              <w:t>7-24</w:t>
            </w:r>
            <w:r>
              <w:rPr>
                <w:b/>
                <w:sz w:val="21"/>
                <w:szCs w:val="18"/>
              </w:rPr>
              <w:t xml:space="preserve"> </w:t>
            </w:r>
            <w:r>
              <w:rPr>
                <w:rFonts w:hint="eastAsia"/>
                <w:b/>
                <w:sz w:val="21"/>
                <w:szCs w:val="18"/>
              </w:rPr>
              <w:t>评级工作等级</w:t>
            </w:r>
            <w:r>
              <w:rPr>
                <w:b/>
                <w:sz w:val="21"/>
                <w:szCs w:val="18"/>
              </w:rPr>
              <w:t>划分</w:t>
            </w:r>
          </w:p>
          <w:tbl>
            <w:tblPr>
              <w:tblStyle w:val="37"/>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603"/>
              <w:gridCol w:w="1369"/>
              <w:gridCol w:w="1678"/>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25" w:type="dxa"/>
                  <w:vAlign w:val="center"/>
                </w:tcPr>
                <w:p>
                  <w:pPr>
                    <w:adjustRightInd w:val="0"/>
                    <w:snapToGrid w:val="0"/>
                    <w:spacing w:line="360" w:lineRule="auto"/>
                    <w:jc w:val="center"/>
                    <w:rPr>
                      <w:b/>
                      <w:bCs/>
                      <w:kern w:val="0"/>
                      <w:sz w:val="21"/>
                      <w:szCs w:val="21"/>
                    </w:rPr>
                  </w:pPr>
                  <w:r>
                    <w:rPr>
                      <w:rFonts w:hint="eastAsia"/>
                      <w:b/>
                      <w:bCs/>
                      <w:kern w:val="0"/>
                      <w:sz w:val="21"/>
                      <w:szCs w:val="21"/>
                    </w:rPr>
                    <w:t>环境风险潜势</w:t>
                  </w:r>
                </w:p>
              </w:tc>
              <w:tc>
                <w:tcPr>
                  <w:tcW w:w="1603" w:type="dxa"/>
                  <w:vAlign w:val="center"/>
                </w:tcPr>
                <w:p>
                  <w:pPr>
                    <w:adjustRightInd w:val="0"/>
                    <w:snapToGrid w:val="0"/>
                    <w:spacing w:line="360" w:lineRule="auto"/>
                    <w:jc w:val="center"/>
                    <w:rPr>
                      <w:b/>
                      <w:bCs/>
                      <w:kern w:val="0"/>
                      <w:sz w:val="21"/>
                      <w:szCs w:val="21"/>
                    </w:rPr>
                  </w:pPr>
                  <w:r>
                    <w:rPr>
                      <w:rFonts w:hint="eastAsia"/>
                      <w:b/>
                      <w:bCs/>
                      <w:kern w:val="0"/>
                      <w:sz w:val="21"/>
                      <w:szCs w:val="21"/>
                    </w:rPr>
                    <w:t>Ⅳ、Ⅴ</w:t>
                  </w:r>
                </w:p>
              </w:tc>
              <w:tc>
                <w:tcPr>
                  <w:tcW w:w="1369" w:type="dxa"/>
                  <w:vAlign w:val="center"/>
                </w:tcPr>
                <w:p>
                  <w:pPr>
                    <w:adjustRightInd w:val="0"/>
                    <w:snapToGrid w:val="0"/>
                    <w:spacing w:line="360" w:lineRule="auto"/>
                    <w:jc w:val="center"/>
                    <w:rPr>
                      <w:b/>
                      <w:bCs/>
                      <w:kern w:val="0"/>
                      <w:sz w:val="21"/>
                      <w:szCs w:val="21"/>
                    </w:rPr>
                  </w:pPr>
                  <w:r>
                    <w:rPr>
                      <w:rFonts w:hint="eastAsia"/>
                      <w:b/>
                      <w:bCs/>
                      <w:kern w:val="0"/>
                      <w:sz w:val="21"/>
                      <w:szCs w:val="21"/>
                    </w:rPr>
                    <w:t>Ⅲ</w:t>
                  </w:r>
                </w:p>
              </w:tc>
              <w:tc>
                <w:tcPr>
                  <w:tcW w:w="1678" w:type="dxa"/>
                  <w:vAlign w:val="center"/>
                </w:tcPr>
                <w:p>
                  <w:pPr>
                    <w:adjustRightInd w:val="0"/>
                    <w:snapToGrid w:val="0"/>
                    <w:spacing w:line="360" w:lineRule="auto"/>
                    <w:jc w:val="center"/>
                    <w:rPr>
                      <w:b/>
                      <w:bCs/>
                      <w:kern w:val="0"/>
                      <w:sz w:val="21"/>
                      <w:szCs w:val="21"/>
                    </w:rPr>
                  </w:pPr>
                  <w:r>
                    <w:rPr>
                      <w:rFonts w:hint="eastAsia"/>
                      <w:b/>
                      <w:bCs/>
                      <w:kern w:val="0"/>
                      <w:sz w:val="21"/>
                      <w:szCs w:val="21"/>
                    </w:rPr>
                    <w:t>Ⅱ</w:t>
                  </w:r>
                </w:p>
              </w:tc>
              <w:tc>
                <w:tcPr>
                  <w:tcW w:w="1557" w:type="dxa"/>
                  <w:vAlign w:val="center"/>
                </w:tcPr>
                <w:p>
                  <w:pPr>
                    <w:adjustRightInd w:val="0"/>
                    <w:snapToGrid w:val="0"/>
                    <w:spacing w:line="360" w:lineRule="auto"/>
                    <w:jc w:val="center"/>
                    <w:rPr>
                      <w:b/>
                      <w:bCs/>
                      <w:kern w:val="0"/>
                      <w:sz w:val="21"/>
                      <w:szCs w:val="21"/>
                    </w:rPr>
                  </w:pPr>
                  <w:r>
                    <w:rPr>
                      <w:rFonts w:hint="eastAsia"/>
                      <w:b/>
                      <w:bCs/>
                      <w:kern w:val="0"/>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25" w:type="dxa"/>
                  <w:vAlign w:val="center"/>
                </w:tcPr>
                <w:p>
                  <w:pPr>
                    <w:adjustRightInd w:val="0"/>
                    <w:snapToGrid w:val="0"/>
                    <w:spacing w:line="360" w:lineRule="auto"/>
                    <w:jc w:val="center"/>
                    <w:rPr>
                      <w:kern w:val="0"/>
                      <w:sz w:val="21"/>
                      <w:szCs w:val="21"/>
                    </w:rPr>
                  </w:pPr>
                  <w:r>
                    <w:rPr>
                      <w:rFonts w:hint="eastAsia"/>
                      <w:kern w:val="0"/>
                      <w:sz w:val="21"/>
                      <w:szCs w:val="21"/>
                    </w:rPr>
                    <w:t>评价工作等级</w:t>
                  </w:r>
                </w:p>
              </w:tc>
              <w:tc>
                <w:tcPr>
                  <w:tcW w:w="1603" w:type="dxa"/>
                  <w:vAlign w:val="center"/>
                </w:tcPr>
                <w:p>
                  <w:pPr>
                    <w:adjustRightInd w:val="0"/>
                    <w:snapToGrid w:val="0"/>
                    <w:spacing w:line="360" w:lineRule="auto"/>
                    <w:jc w:val="center"/>
                    <w:rPr>
                      <w:kern w:val="0"/>
                      <w:sz w:val="21"/>
                      <w:szCs w:val="21"/>
                    </w:rPr>
                  </w:pPr>
                  <w:r>
                    <w:rPr>
                      <w:rFonts w:hint="eastAsia"/>
                      <w:kern w:val="0"/>
                      <w:sz w:val="21"/>
                      <w:szCs w:val="21"/>
                    </w:rPr>
                    <w:t>一</w:t>
                  </w:r>
                </w:p>
              </w:tc>
              <w:tc>
                <w:tcPr>
                  <w:tcW w:w="1369" w:type="dxa"/>
                  <w:vAlign w:val="center"/>
                </w:tcPr>
                <w:p>
                  <w:pPr>
                    <w:adjustRightInd w:val="0"/>
                    <w:snapToGrid w:val="0"/>
                    <w:spacing w:line="360" w:lineRule="auto"/>
                    <w:jc w:val="center"/>
                    <w:rPr>
                      <w:kern w:val="0"/>
                      <w:sz w:val="21"/>
                      <w:szCs w:val="21"/>
                    </w:rPr>
                  </w:pPr>
                  <w:r>
                    <w:rPr>
                      <w:rFonts w:hint="eastAsia"/>
                      <w:kern w:val="0"/>
                      <w:sz w:val="21"/>
                      <w:szCs w:val="21"/>
                    </w:rPr>
                    <w:t>二</w:t>
                  </w:r>
                </w:p>
              </w:tc>
              <w:tc>
                <w:tcPr>
                  <w:tcW w:w="1678" w:type="dxa"/>
                  <w:vAlign w:val="center"/>
                </w:tcPr>
                <w:p>
                  <w:pPr>
                    <w:adjustRightInd w:val="0"/>
                    <w:snapToGrid w:val="0"/>
                    <w:spacing w:line="360" w:lineRule="auto"/>
                    <w:jc w:val="center"/>
                    <w:rPr>
                      <w:kern w:val="0"/>
                      <w:sz w:val="21"/>
                      <w:szCs w:val="21"/>
                    </w:rPr>
                  </w:pPr>
                  <w:r>
                    <w:rPr>
                      <w:rFonts w:hint="eastAsia"/>
                      <w:kern w:val="0"/>
                      <w:sz w:val="21"/>
                      <w:szCs w:val="21"/>
                    </w:rPr>
                    <w:t>三</w:t>
                  </w:r>
                </w:p>
              </w:tc>
              <w:tc>
                <w:tcPr>
                  <w:tcW w:w="1557" w:type="dxa"/>
                  <w:vAlign w:val="center"/>
                </w:tcPr>
                <w:p>
                  <w:pPr>
                    <w:adjustRightInd w:val="0"/>
                    <w:snapToGrid w:val="0"/>
                    <w:spacing w:line="360" w:lineRule="auto"/>
                    <w:jc w:val="center"/>
                    <w:rPr>
                      <w:kern w:val="0"/>
                      <w:sz w:val="21"/>
                      <w:szCs w:val="21"/>
                    </w:rPr>
                  </w:pPr>
                  <w:r>
                    <w:rPr>
                      <w:rFonts w:hint="eastAsia"/>
                      <w:kern w:val="0"/>
                      <w:sz w:val="21"/>
                      <w:szCs w:val="21"/>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32" w:type="dxa"/>
                  <w:gridSpan w:val="5"/>
                  <w:vAlign w:val="center"/>
                </w:tcPr>
                <w:p>
                  <w:pPr>
                    <w:adjustRightInd w:val="0"/>
                    <w:snapToGrid w:val="0"/>
                    <w:rPr>
                      <w:kern w:val="0"/>
                      <w:sz w:val="21"/>
                      <w:szCs w:val="21"/>
                    </w:rPr>
                  </w:pPr>
                  <w:r>
                    <w:rPr>
                      <w:rFonts w:hint="eastAsia" w:ascii="黑体" w:hAnsi="黑体" w:eastAsia="黑体" w:cs="黑体"/>
                      <w:kern w:val="0"/>
                      <w:sz w:val="18"/>
                      <w:szCs w:val="18"/>
                    </w:rPr>
                    <w:t>是相对于详细评价工作内容而言，在描述危险物质、环境影响途径、环境危害后果、风险防范措施等方面给出定性的说明</w:t>
                  </w:r>
                  <w:r>
                    <w:rPr>
                      <w:rFonts w:hint="eastAsia" w:ascii="黑体" w:hAnsi="黑体" w:eastAsia="黑体" w:cs="黑体"/>
                      <w:kern w:val="0"/>
                      <w:sz w:val="20"/>
                    </w:rPr>
                    <w:t>。</w:t>
                  </w:r>
                </w:p>
              </w:tc>
            </w:tr>
          </w:tbl>
          <w:p>
            <w:pPr>
              <w:adjustRightInd w:val="0"/>
              <w:snapToGrid w:val="0"/>
              <w:spacing w:beforeLines="50" w:line="360" w:lineRule="auto"/>
              <w:ind w:firstLine="480" w:firstLineChars="200"/>
              <w:rPr>
                <w:szCs w:val="24"/>
              </w:rPr>
            </w:pPr>
            <w:r>
              <w:rPr>
                <w:rFonts w:hint="eastAsia"/>
                <w:szCs w:val="24"/>
              </w:rPr>
              <w:t>根据《建设项目环境风险评价技术导则》（HJ 169-2018），</w:t>
            </w:r>
            <w:r>
              <w:rPr>
                <w:szCs w:val="24"/>
              </w:rPr>
              <w:t>本项目</w:t>
            </w:r>
            <w:r>
              <w:rPr>
                <w:rFonts w:hint="eastAsia"/>
                <w:szCs w:val="24"/>
              </w:rPr>
              <w:t>三座污水厂的环境风险潜势均为Ⅰ级，不设评级等级，只需进行简单分析，描述危险物质、环境影响途径、环境危害后果、风险防范措施等方面给出定性的说明。</w:t>
            </w:r>
          </w:p>
          <w:p>
            <w:pPr>
              <w:adjustRightInd w:val="0"/>
              <w:snapToGrid w:val="0"/>
              <w:spacing w:line="360" w:lineRule="auto"/>
              <w:jc w:val="center"/>
              <w:rPr>
                <w:b/>
                <w:sz w:val="21"/>
                <w:szCs w:val="18"/>
              </w:rPr>
            </w:pPr>
            <w:r>
              <w:rPr>
                <w:rFonts w:hint="eastAsia"/>
                <w:b/>
                <w:sz w:val="21"/>
                <w:szCs w:val="18"/>
              </w:rPr>
              <w:t>表7-25</w:t>
            </w:r>
            <w:r>
              <w:rPr>
                <w:b/>
                <w:sz w:val="21"/>
                <w:szCs w:val="18"/>
              </w:rPr>
              <w:t xml:space="preserve">  </w:t>
            </w:r>
            <w:r>
              <w:rPr>
                <w:rFonts w:hint="eastAsia"/>
                <w:b/>
                <w:sz w:val="21"/>
                <w:szCs w:val="18"/>
              </w:rPr>
              <w:t>建设项目环境风险评价简单分析表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191"/>
              <w:gridCol w:w="2166"/>
              <w:gridCol w:w="1219"/>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建设项目名称</w:t>
                  </w:r>
                </w:p>
              </w:tc>
              <w:tc>
                <w:tcPr>
                  <w:tcW w:w="7014" w:type="dxa"/>
                  <w:gridSpan w:val="4"/>
                  <w:vAlign w:val="center"/>
                </w:tcPr>
                <w:p>
                  <w:pPr>
                    <w:rPr>
                      <w:sz w:val="21"/>
                      <w:szCs w:val="21"/>
                    </w:rPr>
                  </w:pPr>
                  <w:r>
                    <w:rPr>
                      <w:rFonts w:hint="eastAsia"/>
                      <w:sz w:val="21"/>
                      <w:szCs w:val="21"/>
                    </w:rPr>
                    <w:t>大理州洱源县洱海流域污水处理厂提标改造及管网修复完善工程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建设地点</w:t>
                  </w:r>
                </w:p>
              </w:tc>
              <w:tc>
                <w:tcPr>
                  <w:tcW w:w="7014" w:type="dxa"/>
                  <w:gridSpan w:val="4"/>
                  <w:vAlign w:val="center"/>
                </w:tcPr>
                <w:p>
                  <w:pPr>
                    <w:jc w:val="center"/>
                    <w:rPr>
                      <w:sz w:val="21"/>
                      <w:szCs w:val="21"/>
                    </w:rPr>
                  </w:pPr>
                  <w:r>
                    <w:rPr>
                      <w:rFonts w:hint="eastAsia"/>
                      <w:sz w:val="21"/>
                      <w:szCs w:val="21"/>
                    </w:rPr>
                    <w:t>大理州洱源县邓川镇、右所镇、牛街镇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地理坐标</w:t>
                  </w:r>
                </w:p>
              </w:tc>
              <w:tc>
                <w:tcPr>
                  <w:tcW w:w="1191" w:type="dxa"/>
                  <w:vAlign w:val="center"/>
                </w:tcPr>
                <w:p>
                  <w:pPr>
                    <w:jc w:val="center"/>
                    <w:rPr>
                      <w:sz w:val="21"/>
                      <w:szCs w:val="21"/>
                    </w:rPr>
                  </w:pPr>
                  <w:r>
                    <w:rPr>
                      <w:rFonts w:hint="eastAsia"/>
                      <w:sz w:val="21"/>
                      <w:szCs w:val="21"/>
                    </w:rPr>
                    <w:t>经度</w:t>
                  </w:r>
                </w:p>
              </w:tc>
              <w:tc>
                <w:tcPr>
                  <w:tcW w:w="2166" w:type="dxa"/>
                  <w:vAlign w:val="center"/>
                </w:tcPr>
                <w:p>
                  <w:pPr>
                    <w:adjustRightInd w:val="0"/>
                    <w:snapToGrid w:val="0"/>
                    <w:rPr>
                      <w:sz w:val="21"/>
                      <w:szCs w:val="21"/>
                    </w:rPr>
                  </w:pPr>
                  <w:r>
                    <w:rPr>
                      <w:color w:val="000000"/>
                      <w:sz w:val="21"/>
                      <w:szCs w:val="21"/>
                    </w:rPr>
                    <w:t>邓川厂</w:t>
                  </w:r>
                  <w:r>
                    <w:rPr>
                      <w:sz w:val="21"/>
                      <w:szCs w:val="21"/>
                    </w:rPr>
                    <w:t>100.097743</w:t>
                  </w:r>
                </w:p>
                <w:p>
                  <w:pPr>
                    <w:adjustRightInd w:val="0"/>
                    <w:snapToGrid w:val="0"/>
                    <w:rPr>
                      <w:color w:val="000000"/>
                      <w:sz w:val="21"/>
                      <w:szCs w:val="21"/>
                    </w:rPr>
                  </w:pPr>
                  <w:r>
                    <w:rPr>
                      <w:color w:val="000000"/>
                      <w:sz w:val="21"/>
                      <w:szCs w:val="21"/>
                    </w:rPr>
                    <w:t>右所厂100.052721</w:t>
                  </w:r>
                </w:p>
                <w:p>
                  <w:pPr>
                    <w:adjustRightInd w:val="0"/>
                    <w:snapToGrid w:val="0"/>
                    <w:rPr>
                      <w:sz w:val="21"/>
                      <w:szCs w:val="21"/>
                    </w:rPr>
                  </w:pPr>
                  <w:r>
                    <w:rPr>
                      <w:color w:val="000000"/>
                      <w:sz w:val="21"/>
                      <w:szCs w:val="21"/>
                    </w:rPr>
                    <w:t>牛街厂</w:t>
                  </w:r>
                  <w:r>
                    <w:rPr>
                      <w:sz w:val="21"/>
                      <w:szCs w:val="21"/>
                    </w:rPr>
                    <w:t>99.983897</w:t>
                  </w:r>
                </w:p>
              </w:tc>
              <w:tc>
                <w:tcPr>
                  <w:tcW w:w="1219" w:type="dxa"/>
                  <w:vAlign w:val="center"/>
                </w:tcPr>
                <w:p>
                  <w:pPr>
                    <w:adjustRightInd w:val="0"/>
                    <w:snapToGrid w:val="0"/>
                    <w:jc w:val="center"/>
                    <w:rPr>
                      <w:sz w:val="21"/>
                      <w:szCs w:val="21"/>
                    </w:rPr>
                  </w:pPr>
                  <w:r>
                    <w:rPr>
                      <w:rFonts w:hint="eastAsia"/>
                      <w:sz w:val="21"/>
                      <w:szCs w:val="21"/>
                    </w:rPr>
                    <w:t>纬度</w:t>
                  </w:r>
                </w:p>
              </w:tc>
              <w:tc>
                <w:tcPr>
                  <w:tcW w:w="2438" w:type="dxa"/>
                  <w:vAlign w:val="center"/>
                </w:tcPr>
                <w:p>
                  <w:pPr>
                    <w:adjustRightInd w:val="0"/>
                    <w:snapToGrid w:val="0"/>
                    <w:rPr>
                      <w:color w:val="000000"/>
                      <w:sz w:val="21"/>
                      <w:szCs w:val="21"/>
                    </w:rPr>
                  </w:pPr>
                  <w:r>
                    <w:rPr>
                      <w:color w:val="000000"/>
                      <w:sz w:val="21"/>
                      <w:szCs w:val="21"/>
                    </w:rPr>
                    <w:t>邓川厂</w:t>
                  </w:r>
                  <w:r>
                    <w:rPr>
                      <w:sz w:val="21"/>
                      <w:szCs w:val="21"/>
                    </w:rPr>
                    <w:t>25.987439</w:t>
                  </w:r>
                </w:p>
                <w:p>
                  <w:pPr>
                    <w:adjustRightInd w:val="0"/>
                    <w:snapToGrid w:val="0"/>
                    <w:rPr>
                      <w:color w:val="000000"/>
                      <w:sz w:val="21"/>
                      <w:szCs w:val="21"/>
                    </w:rPr>
                  </w:pPr>
                  <w:r>
                    <w:rPr>
                      <w:color w:val="000000"/>
                      <w:sz w:val="21"/>
                      <w:szCs w:val="21"/>
                    </w:rPr>
                    <w:t>右所厂26.015878</w:t>
                  </w:r>
                </w:p>
                <w:p>
                  <w:pPr>
                    <w:rPr>
                      <w:sz w:val="21"/>
                      <w:szCs w:val="21"/>
                    </w:rPr>
                  </w:pPr>
                  <w:r>
                    <w:rPr>
                      <w:color w:val="000000"/>
                      <w:sz w:val="21"/>
                      <w:szCs w:val="21"/>
                    </w:rPr>
                    <w:t>牛街厂</w:t>
                  </w:r>
                  <w:r>
                    <w:rPr>
                      <w:sz w:val="21"/>
                      <w:szCs w:val="21"/>
                    </w:rPr>
                    <w:t>26.247465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主要危险物质及分布</w:t>
                  </w:r>
                </w:p>
              </w:tc>
              <w:tc>
                <w:tcPr>
                  <w:tcW w:w="7014" w:type="dxa"/>
                  <w:gridSpan w:val="4"/>
                  <w:vAlign w:val="center"/>
                </w:tcPr>
                <w:p>
                  <w:pPr>
                    <w:jc w:val="center"/>
                    <w:rPr>
                      <w:sz w:val="21"/>
                      <w:szCs w:val="21"/>
                    </w:rPr>
                  </w:pPr>
                  <w:r>
                    <w:rPr>
                      <w:rFonts w:hint="eastAsia"/>
                      <w:sz w:val="21"/>
                      <w:szCs w:val="21"/>
                    </w:rPr>
                    <w:t>主要风险物质为次氯酸钠、废机油，分布于污水处理厂药剂储罐及危废暂存间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环境影响途径及危害后果（大气、地表水、地下水等）</w:t>
                  </w:r>
                </w:p>
              </w:tc>
              <w:tc>
                <w:tcPr>
                  <w:tcW w:w="7014" w:type="dxa"/>
                  <w:gridSpan w:val="4"/>
                  <w:vAlign w:val="center"/>
                </w:tcPr>
                <w:p>
                  <w:pPr>
                    <w:jc w:val="left"/>
                    <w:rPr>
                      <w:sz w:val="21"/>
                      <w:szCs w:val="21"/>
                    </w:rPr>
                  </w:pPr>
                  <w:r>
                    <w:rPr>
                      <w:rFonts w:hint="eastAsia"/>
                      <w:sz w:val="21"/>
                      <w:szCs w:val="21"/>
                    </w:rPr>
                    <w:t>（1）水环境环境风险：次氯酸钠溶液为碱性，油类物质中含有有毒物质，大量泄露入地表水体中，会使水体pH值发生变化下降，严重的会影响水中微生物活性，使水体自净能力下降，水中污染物富集，水体水质变差。</w:t>
                  </w:r>
                </w:p>
                <w:p>
                  <w:pPr>
                    <w:jc w:val="left"/>
                    <w:rPr>
                      <w:sz w:val="21"/>
                      <w:szCs w:val="21"/>
                    </w:rPr>
                  </w:pPr>
                  <w:r>
                    <w:rPr>
                      <w:rFonts w:hint="eastAsia"/>
                      <w:sz w:val="21"/>
                      <w:szCs w:val="21"/>
                    </w:rPr>
                    <w:t>（2）土壤环境风险：次氯酸钠及废机油发生渗漏，均会对土壤造成酸碱度的变化，油类物质还会使土壤板结，造成农作物减产和死亡。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风险防范措施要求</w:t>
                  </w:r>
                </w:p>
              </w:tc>
              <w:tc>
                <w:tcPr>
                  <w:tcW w:w="7014" w:type="dxa"/>
                  <w:gridSpan w:val="4"/>
                  <w:vAlign w:val="center"/>
                </w:tcPr>
                <w:p>
                  <w:pPr>
                    <w:rPr>
                      <w:sz w:val="21"/>
                      <w:szCs w:val="21"/>
                    </w:rPr>
                  </w:pPr>
                  <w:r>
                    <w:rPr>
                      <w:rFonts w:hint="eastAsia"/>
                      <w:sz w:val="21"/>
                      <w:szCs w:val="21"/>
                    </w:rPr>
                    <w:t>（</w:t>
                  </w:r>
                  <w:r>
                    <w:rPr>
                      <w:sz w:val="21"/>
                      <w:szCs w:val="21"/>
                    </w:rPr>
                    <w:t>1</w:t>
                  </w:r>
                  <w:r>
                    <w:rPr>
                      <w:rFonts w:hint="eastAsia"/>
                      <w:sz w:val="21"/>
                      <w:szCs w:val="21"/>
                    </w:rPr>
                    <w:t>）加强对风险物质次氯酸钠、废机油的储存管理，次氯酸钠应保存在专门的容器内，并储存于固定的药品间内；废机油暂存于专用收集桶内，暂存于危废暂存间，并对药品间和危废暂存间地面和墙面进行防腐防渗处理；</w:t>
                  </w:r>
                </w:p>
                <w:p>
                  <w:pPr>
                    <w:rPr>
                      <w:sz w:val="21"/>
                      <w:szCs w:val="21"/>
                    </w:rPr>
                  </w:pPr>
                  <w:r>
                    <w:rPr>
                      <w:rFonts w:hint="eastAsia"/>
                      <w:sz w:val="21"/>
                      <w:szCs w:val="21"/>
                    </w:rPr>
                    <w:t>（2）加强对风险物质的管控制度，做好台账记录和危废转运五联单。</w:t>
                  </w:r>
                </w:p>
                <w:p>
                  <w:pPr>
                    <w:rPr>
                      <w:sz w:val="21"/>
                      <w:szCs w:val="21"/>
                    </w:rPr>
                  </w:pPr>
                  <w:r>
                    <w:rPr>
                      <w:rFonts w:hint="eastAsia"/>
                      <w:sz w:val="21"/>
                      <w:szCs w:val="21"/>
                    </w:rPr>
                    <w:t>（3）</w:t>
                  </w:r>
                  <w:r>
                    <w:rPr>
                      <w:sz w:val="21"/>
                      <w:szCs w:val="21"/>
                    </w:rPr>
                    <w:t>设立安全与环保专员，负责全厂的安全运营，建立完善的安全生产管理制度，加强安全生产的宣传和教育，确保安全生产落实到生产中的每一个环节。</w:t>
                  </w:r>
                </w:p>
                <w:p>
                  <w:pPr>
                    <w:rPr>
                      <w:sz w:val="21"/>
                      <w:szCs w:val="21"/>
                    </w:rPr>
                  </w:pPr>
                  <w:r>
                    <w:rPr>
                      <w:rFonts w:hint="eastAsia"/>
                      <w:sz w:val="21"/>
                      <w:szCs w:val="21"/>
                    </w:rPr>
                    <w:t>（4）</w:t>
                  </w:r>
                  <w:r>
                    <w:rPr>
                      <w:sz w:val="21"/>
                      <w:szCs w:val="21"/>
                    </w:rPr>
                    <w:t>厂区内设完善的安全报警通讯系统，并配备防毒面具、灭火器等必要的消防应急</w:t>
                  </w:r>
                  <w:r>
                    <w:rPr>
                      <w:rFonts w:hint="eastAsia"/>
                      <w:sz w:val="21"/>
                      <w:szCs w:val="21"/>
                    </w:rPr>
                    <w:t>物资</w:t>
                  </w:r>
                  <w:r>
                    <w:rPr>
                      <w:sz w:val="21"/>
                      <w:szCs w:val="21"/>
                    </w:rPr>
                    <w:t>，一旦发生事故能自行抢救或控制、减缓事故的扩大</w:t>
                  </w:r>
                  <w:r>
                    <w:rPr>
                      <w:rFonts w:hint="eastAsia"/>
                      <w:sz w:val="21"/>
                      <w:szCs w:val="21"/>
                    </w:rPr>
                    <w:t>。</w:t>
                  </w:r>
                </w:p>
                <w:p>
                  <w:pPr>
                    <w:rPr>
                      <w:sz w:val="21"/>
                      <w:szCs w:val="21"/>
                    </w:rPr>
                  </w:pPr>
                  <w:r>
                    <w:rPr>
                      <w:rFonts w:hint="eastAsia"/>
                      <w:sz w:val="21"/>
                      <w:szCs w:val="21"/>
                    </w:rPr>
                    <w:t>（5）</w:t>
                  </w:r>
                  <w:r>
                    <w:rPr>
                      <w:sz w:val="21"/>
                      <w:szCs w:val="21"/>
                    </w:rPr>
                    <w:t>组织人员培训，一般性工作人员要求能够熟练掌握正确的设备操作程序，指挥机构人员则应进行事故判别、决策指挥等方面的专业培训。</w:t>
                  </w:r>
                </w:p>
                <w:p>
                  <w:pPr>
                    <w:pStyle w:val="76"/>
                    <w:rPr>
                      <w:rFonts w:ascii="Times New Roman" w:hAnsi="Times New Roman"/>
                      <w:color w:val="auto"/>
                      <w:sz w:val="21"/>
                      <w:szCs w:val="21"/>
                    </w:rPr>
                  </w:pPr>
                  <w:r>
                    <w:rPr>
                      <w:rFonts w:hint="eastAsia" w:ascii="Times New Roman" w:hAnsi="Times New Roman"/>
                      <w:color w:val="auto"/>
                      <w:sz w:val="21"/>
                      <w:szCs w:val="21"/>
                    </w:rPr>
                    <w:t>（6）做好应急预案工作及应急演练。</w:t>
                  </w:r>
                  <w:r>
                    <w:rPr>
                      <w:rFonts w:ascii="Times New Roman" w:hAnsi="Times New Roman"/>
                      <w:color w:val="auto"/>
                      <w:sz w:val="21"/>
                      <w:szCs w:val="21"/>
                    </w:rPr>
                    <w:t xml:space="preserve"> </w:t>
                  </w:r>
                </w:p>
              </w:tc>
            </w:tr>
          </w:tbl>
          <w:p>
            <w:pPr>
              <w:adjustRightInd w:val="0"/>
              <w:snapToGrid w:val="0"/>
              <w:spacing w:beforeLines="50" w:line="360" w:lineRule="auto"/>
              <w:ind w:firstLine="482" w:firstLineChars="200"/>
              <w:rPr>
                <w:rFonts w:hAnsi="宋体"/>
                <w:b/>
              </w:rPr>
            </w:pPr>
            <w:r>
              <w:rPr>
                <w:rFonts w:hint="eastAsia" w:hAnsi="宋体"/>
                <w:b/>
              </w:rPr>
              <w:t>（三）项目与相关规划、条例的相符性分析</w:t>
            </w:r>
          </w:p>
          <w:p>
            <w:pPr>
              <w:adjustRightInd w:val="0"/>
              <w:snapToGrid w:val="0"/>
              <w:spacing w:line="360" w:lineRule="auto"/>
              <w:ind w:firstLine="482" w:firstLineChars="200"/>
              <w:rPr>
                <w:b/>
              </w:rPr>
            </w:pPr>
            <w:r>
              <w:rPr>
                <w:rFonts w:hint="eastAsia" w:hAnsi="宋体"/>
                <w:b/>
              </w:rPr>
              <w:t>1、与《云南重点流域水污染防治规划》（2016~2020）</w:t>
            </w:r>
            <w:r>
              <w:rPr>
                <w:rFonts w:hint="eastAsia"/>
                <w:b/>
              </w:rPr>
              <w:t>的相符性分析</w:t>
            </w:r>
          </w:p>
          <w:p>
            <w:pPr>
              <w:spacing w:line="360" w:lineRule="auto"/>
              <w:ind w:firstLine="480" w:firstLineChars="200"/>
              <w:rPr>
                <w:rFonts w:hAnsi="宋体"/>
                <w:b/>
              </w:rPr>
            </w:pPr>
            <w:r>
              <w:rPr>
                <w:rFonts w:hint="eastAsia" w:hAnsi="宋体"/>
                <w:bCs/>
              </w:rPr>
              <w:t>根据《云南重点流域水污染防治规划》（2016~2020）中指出，流域重点污染防治方向在于：“针对优良湖泊洱海要优化空间布局及产业结构，严格控制沿湖片区的开发规模和强度，促进旅游业升级转型，系统截污治污，加强水资源统筹利用，优化湖泊水生态调控，提高蓝藻水华预警防控”；规划的主要任务为：“推进建设村庄内部污水管沟，完善村庄排水系统。因地制宜建设农村污水处理设施，构建农村污水就地处理体系，并加强处理设施运维管理。建立集中与分散处理相结合。到2020年，推进乡(镇)镇区生活污水处理设施基本实现全覆盖，九大高原湖泊周边的村庄生活污水处理设施基本实现全覆盖。”</w:t>
            </w:r>
          </w:p>
          <w:p>
            <w:pPr>
              <w:spacing w:line="360" w:lineRule="auto"/>
              <w:ind w:firstLine="480" w:firstLineChars="200"/>
              <w:rPr>
                <w:rFonts w:hAnsi="宋体"/>
                <w:b/>
              </w:rPr>
            </w:pPr>
            <w:r>
              <w:rPr>
                <w:rFonts w:hint="eastAsia" w:hAnsi="宋体"/>
                <w:bCs/>
              </w:rPr>
              <w:t>综上所述，本项目为洱海流域</w:t>
            </w:r>
            <w:r>
              <w:rPr>
                <w:rFonts w:hint="eastAsia"/>
              </w:rPr>
              <w:t>牛街乡、茈碧湖镇、邓川镇、三营镇、右所镇、凤</w:t>
            </w:r>
            <w:r>
              <w:t>羽镇</w:t>
            </w:r>
            <w:r>
              <w:rPr>
                <w:szCs w:val="24"/>
              </w:rPr>
              <w:t>6个乡镇51个自然村的管网及</w:t>
            </w:r>
            <w:r>
              <w:rPr>
                <w:bCs/>
              </w:rPr>
              <w:t>污水集中收集处理工程，项目污水厂改造实施后，能够保证污水处理厂出</w:t>
            </w:r>
            <w:r>
              <w:rPr>
                <w:rFonts w:hint="eastAsia"/>
                <w:bCs/>
              </w:rPr>
              <w:t>水稳定达标；管网工程修复完善后，将原本分散且未经有效处</w:t>
            </w:r>
            <w:r>
              <w:rPr>
                <w:rFonts w:hint="eastAsia"/>
              </w:rPr>
              <w:t>理的生活废水进行收集处理和利用</w:t>
            </w:r>
            <w:r>
              <w:rPr>
                <w:rFonts w:hint="eastAsia" w:hAnsi="宋体"/>
                <w:bCs/>
              </w:rPr>
              <w:t>，实现乡镇区生活污水处理设施基本全覆盖，完全符合该规划中的污染防治方向以及规划任务。因此，</w:t>
            </w:r>
            <w:r>
              <w:rPr>
                <w:rFonts w:hint="eastAsia"/>
              </w:rPr>
              <w:t>该项目的建设与</w:t>
            </w:r>
            <w:r>
              <w:rPr>
                <w:rFonts w:hint="eastAsia" w:hAnsi="宋体"/>
                <w:bCs/>
              </w:rPr>
              <w:t>《云南重点流域水污染防治规划》（2016~2020）的相关要求是相符的。</w:t>
            </w:r>
          </w:p>
          <w:p>
            <w:pPr>
              <w:spacing w:line="360" w:lineRule="auto"/>
              <w:ind w:firstLine="482" w:firstLineChars="200"/>
              <w:rPr>
                <w:b/>
              </w:rPr>
            </w:pPr>
            <w:r>
              <w:rPr>
                <w:rFonts w:hint="eastAsia" w:hAnsi="宋体"/>
                <w:b/>
              </w:rPr>
              <w:t>2、与洱海流域水环境治理“十三五”规划</w:t>
            </w:r>
            <w:r>
              <w:rPr>
                <w:rFonts w:hint="eastAsia"/>
                <w:b/>
              </w:rPr>
              <w:t>的相符性分析</w:t>
            </w:r>
          </w:p>
          <w:p>
            <w:pPr>
              <w:spacing w:line="360" w:lineRule="auto"/>
              <w:ind w:firstLine="480" w:firstLineChars="200"/>
              <w:rPr>
                <w:rFonts w:hAnsi="宋体"/>
              </w:rPr>
            </w:pPr>
            <w:r>
              <w:rPr>
                <w:rFonts w:hint="eastAsia" w:hAnsi="宋体"/>
              </w:rPr>
              <w:t>《洱海流域水环境治理“十三五”规划》提出的水污染防治重点任务之一：系统截污治污，着力削减入湖污染负荷；综合整治入湖河流，着力保障清水入湖。本项目为洱海流域山区村落污水集中收集处理工程</w:t>
            </w:r>
            <w:r>
              <w:rPr>
                <w:rFonts w:hint="eastAsia"/>
              </w:rPr>
              <w:t>，符合规划中提出的截污治污</w:t>
            </w:r>
            <w:r>
              <w:rPr>
                <w:rFonts w:hint="eastAsia" w:hAnsi="宋体"/>
              </w:rPr>
              <w:t>的要求；同时，规划在流域污染源工程治理与控制体系构建方案中提出：“推进村落环境综合整治。建立村落污水近镇集中并网处理和远镇分散处理2种模式，有序推进村落污水集中并网处理与截污干管同步建设，逐步实现村落污水集中收集处理全覆盖”。</w:t>
            </w:r>
            <w:r>
              <w:rPr>
                <w:rFonts w:hint="eastAsia"/>
              </w:rPr>
              <w:t>本项目为污水集中收集处理工程，将</w:t>
            </w:r>
            <w:r>
              <w:rPr>
                <w:rFonts w:hint="eastAsia" w:hAnsi="宋体"/>
              </w:rPr>
              <w:t>洱海流域茈碧湖镇、右所镇、牛街乡、三营镇的</w:t>
            </w:r>
            <w:r>
              <w:rPr>
                <w:rFonts w:hint="eastAsia"/>
              </w:rPr>
              <w:t>原本分散且未经有效处理的生活废水进行收集处理，实</w:t>
            </w:r>
            <w:r>
              <w:rPr>
                <w:rFonts w:hint="eastAsia" w:hAnsi="宋体"/>
              </w:rPr>
              <w:t>现村落污水集中收集处理全覆盖</w:t>
            </w:r>
            <w:r>
              <w:rPr>
                <w:rFonts w:hint="eastAsia"/>
              </w:rPr>
              <w:t>。因此，该项目的建设与</w:t>
            </w:r>
            <w:r>
              <w:rPr>
                <w:rFonts w:hint="eastAsia" w:hAnsi="宋体"/>
              </w:rPr>
              <w:t>《洱海流域水治理“十三五”规划》的相关要求是相</w:t>
            </w:r>
            <w:r>
              <w:rPr>
                <w:rFonts w:hint="eastAsia"/>
              </w:rPr>
              <w:t>符合</w:t>
            </w:r>
            <w:r>
              <w:rPr>
                <w:rFonts w:hint="eastAsia" w:hAnsi="宋体"/>
              </w:rPr>
              <w:t>。</w:t>
            </w:r>
          </w:p>
          <w:p>
            <w:pPr>
              <w:spacing w:line="360" w:lineRule="auto"/>
              <w:ind w:firstLine="361" w:firstLineChars="150"/>
              <w:rPr>
                <w:b/>
              </w:rPr>
            </w:pPr>
            <w:r>
              <w:rPr>
                <w:rFonts w:hint="eastAsia"/>
                <w:b/>
              </w:rPr>
              <w:t>3、与《云南省大理白族自治州洱海管理条例（修订）》的相符性分析</w:t>
            </w:r>
          </w:p>
          <w:p>
            <w:pPr>
              <w:spacing w:line="360" w:lineRule="auto"/>
              <w:ind w:firstLine="480" w:firstLineChars="200"/>
            </w:pPr>
            <w:r>
              <w:rPr>
                <w:rFonts w:hint="eastAsia"/>
              </w:rPr>
              <w:t>本项目与</w:t>
            </w:r>
            <w:r>
              <w:t>《云南省大理白族自治州洱海</w:t>
            </w:r>
            <w:r>
              <w:rPr>
                <w:rFonts w:hint="eastAsia"/>
              </w:rPr>
              <w:t>保护</w:t>
            </w:r>
            <w:r>
              <w:t>管理条例（修订）》（20</w:t>
            </w:r>
            <w:r>
              <w:rPr>
                <w:rFonts w:hint="eastAsia"/>
              </w:rPr>
              <w:t>19</w:t>
            </w:r>
            <w:r>
              <w:t>年</w:t>
            </w:r>
            <w:r>
              <w:rPr>
                <w:rFonts w:hint="eastAsia"/>
              </w:rPr>
              <w:t>12</w:t>
            </w:r>
            <w:r>
              <w:t>月</w:t>
            </w:r>
            <w:r>
              <w:rPr>
                <w:rFonts w:hint="eastAsia"/>
              </w:rPr>
              <w:t>1日实施</w:t>
            </w:r>
            <w:r>
              <w:t>）</w:t>
            </w:r>
            <w:r>
              <w:rPr>
                <w:rFonts w:hint="eastAsia"/>
              </w:rPr>
              <w:t>的相符性分析见下表：</w:t>
            </w:r>
          </w:p>
          <w:p>
            <w:pPr>
              <w:spacing w:line="360" w:lineRule="auto"/>
              <w:jc w:val="center"/>
              <w:rPr>
                <w:b/>
                <w:bCs/>
                <w:sz w:val="21"/>
                <w:szCs w:val="13"/>
              </w:rPr>
            </w:pPr>
            <w:r>
              <w:rPr>
                <w:b/>
                <w:bCs/>
                <w:sz w:val="21"/>
                <w:szCs w:val="13"/>
              </w:rPr>
              <w:t>表</w:t>
            </w:r>
            <w:r>
              <w:rPr>
                <w:rFonts w:hint="eastAsia"/>
                <w:b/>
                <w:bCs/>
                <w:sz w:val="21"/>
                <w:szCs w:val="13"/>
              </w:rPr>
              <w:t>7-26 项目与</w:t>
            </w:r>
            <w:r>
              <w:rPr>
                <w:b/>
                <w:bCs/>
                <w:sz w:val="21"/>
                <w:szCs w:val="13"/>
              </w:rPr>
              <w:t>《云南省大理白族自治州洱海</w:t>
            </w:r>
            <w:r>
              <w:rPr>
                <w:rFonts w:hint="eastAsia"/>
                <w:b/>
                <w:bCs/>
                <w:sz w:val="21"/>
                <w:szCs w:val="13"/>
              </w:rPr>
              <w:t>保护</w:t>
            </w:r>
            <w:r>
              <w:rPr>
                <w:b/>
                <w:bCs/>
                <w:sz w:val="21"/>
                <w:szCs w:val="13"/>
              </w:rPr>
              <w:t>管理条例（修订）》</w:t>
            </w:r>
            <w:r>
              <w:rPr>
                <w:rFonts w:hint="eastAsia"/>
                <w:b/>
                <w:bCs/>
                <w:sz w:val="21"/>
                <w:szCs w:val="13"/>
              </w:rPr>
              <w:t>的</w:t>
            </w:r>
            <w:r>
              <w:rPr>
                <w:b/>
                <w:bCs/>
                <w:sz w:val="21"/>
                <w:szCs w:val="13"/>
              </w:rPr>
              <w:t>符合性分析表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5070"/>
              <w:gridCol w:w="176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00" w:type="dxa"/>
                  <w:vAlign w:val="center"/>
                </w:tcPr>
                <w:p>
                  <w:pPr>
                    <w:rPr>
                      <w:b/>
                      <w:bCs/>
                      <w:sz w:val="21"/>
                      <w:szCs w:val="21"/>
                    </w:rPr>
                  </w:pPr>
                  <w:r>
                    <w:rPr>
                      <w:b/>
                      <w:bCs/>
                      <w:sz w:val="21"/>
                      <w:szCs w:val="21"/>
                    </w:rPr>
                    <w:t>序号</w:t>
                  </w:r>
                </w:p>
              </w:tc>
              <w:tc>
                <w:tcPr>
                  <w:tcW w:w="5070" w:type="dxa"/>
                  <w:vAlign w:val="center"/>
                </w:tcPr>
                <w:p>
                  <w:pPr>
                    <w:rPr>
                      <w:b/>
                      <w:bCs/>
                      <w:sz w:val="21"/>
                      <w:szCs w:val="21"/>
                    </w:rPr>
                  </w:pPr>
                  <w:r>
                    <w:rPr>
                      <w:b/>
                      <w:bCs/>
                      <w:sz w:val="21"/>
                      <w:szCs w:val="21"/>
                    </w:rPr>
                    <w:t>《云南省大理白族自治州洱海保护管理条例（修订）》的要求</w:t>
                  </w:r>
                </w:p>
              </w:tc>
              <w:tc>
                <w:tcPr>
                  <w:tcW w:w="1767" w:type="dxa"/>
                  <w:vAlign w:val="center"/>
                </w:tcPr>
                <w:p>
                  <w:pPr>
                    <w:ind w:firstLine="211" w:firstLineChars="100"/>
                    <w:rPr>
                      <w:b/>
                      <w:bCs/>
                      <w:sz w:val="21"/>
                      <w:szCs w:val="21"/>
                    </w:rPr>
                  </w:pPr>
                  <w:r>
                    <w:rPr>
                      <w:b/>
                      <w:bCs/>
                      <w:sz w:val="21"/>
                      <w:szCs w:val="21"/>
                    </w:rPr>
                    <w:t>拟建项目情况</w:t>
                  </w:r>
                </w:p>
              </w:tc>
              <w:tc>
                <w:tcPr>
                  <w:tcW w:w="931" w:type="dxa"/>
                  <w:vAlign w:val="center"/>
                </w:tcPr>
                <w:p>
                  <w:pPr>
                    <w:jc w:val="left"/>
                    <w:rPr>
                      <w:b/>
                      <w:bCs/>
                      <w:sz w:val="21"/>
                      <w:szCs w:val="21"/>
                    </w:rPr>
                  </w:pPr>
                  <w:r>
                    <w:rPr>
                      <w:b/>
                      <w:bCs/>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r>
                    <w:rPr>
                      <w:sz w:val="21"/>
                      <w:szCs w:val="21"/>
                    </w:rPr>
                    <w:t>1</w:t>
                  </w:r>
                </w:p>
              </w:tc>
              <w:tc>
                <w:tcPr>
                  <w:tcW w:w="5070" w:type="dxa"/>
                  <w:vAlign w:val="center"/>
                </w:tcPr>
                <w:p>
                  <w:pPr>
                    <w:rPr>
                      <w:sz w:val="21"/>
                      <w:szCs w:val="21"/>
                    </w:rPr>
                  </w:pPr>
                  <w:r>
                    <w:rPr>
                      <w:sz w:val="21"/>
                      <w:szCs w:val="21"/>
                      <w:shd w:val="clear" w:color="auto" w:fill="FFFFFF"/>
                    </w:rPr>
                    <w:t>第六条  洱海保护管理范围是以洱海水体为主的整个洱海流域，包括大理市所辖的下关、大理、银桥、湾桥、喜洲、上关、双廊、挖色、海东、凤仪10个镇和洱源县所辖的邓川、右所、牛街、三营、茈碧湖、凤羽6个乡（镇）约2565平方公里的区域。</w:t>
                  </w:r>
                </w:p>
              </w:tc>
              <w:tc>
                <w:tcPr>
                  <w:tcW w:w="1767" w:type="dxa"/>
                  <w:vAlign w:val="center"/>
                </w:tcPr>
                <w:p>
                  <w:pPr>
                    <w:rPr>
                      <w:sz w:val="21"/>
                      <w:szCs w:val="21"/>
                    </w:rPr>
                  </w:pPr>
                  <w:r>
                    <w:rPr>
                      <w:sz w:val="21"/>
                      <w:szCs w:val="21"/>
                    </w:rPr>
                    <w:t>项目位于洱源县辖区内的邓川、茈碧湖镇、右所镇、牛街乡、三营镇、</w:t>
                  </w:r>
                  <w:r>
                    <w:rPr>
                      <w:sz w:val="21"/>
                      <w:szCs w:val="21"/>
                      <w:shd w:val="clear" w:color="auto" w:fill="FFFFFF"/>
                    </w:rPr>
                    <w:t>凤羽镇</w:t>
                  </w:r>
                  <w:r>
                    <w:rPr>
                      <w:sz w:val="21"/>
                      <w:szCs w:val="21"/>
                    </w:rPr>
                    <w:t>，属于洱海保护管理范围内</w:t>
                  </w:r>
                </w:p>
              </w:tc>
              <w:tc>
                <w:tcPr>
                  <w:tcW w:w="931" w:type="dxa"/>
                  <w:vAlign w:val="center"/>
                </w:tcPr>
                <w:p>
                  <w:pP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r>
                    <w:rPr>
                      <w:sz w:val="21"/>
                      <w:szCs w:val="21"/>
                    </w:rPr>
                    <w:t>2</w:t>
                  </w:r>
                </w:p>
              </w:tc>
              <w:tc>
                <w:tcPr>
                  <w:tcW w:w="5070" w:type="dxa"/>
                  <w:vAlign w:val="center"/>
                </w:tcPr>
                <w:p>
                  <w:pPr>
                    <w:rPr>
                      <w:sz w:val="21"/>
                      <w:szCs w:val="21"/>
                      <w:shd w:val="clear" w:color="auto" w:fill="FFFFFF"/>
                    </w:rPr>
                  </w:pPr>
                  <w:r>
                    <w:rPr>
                      <w:sz w:val="21"/>
                      <w:szCs w:val="21"/>
                      <w:shd w:val="clear" w:color="auto" w:fill="FFFFFF"/>
                    </w:rPr>
                    <w:t>第七条 洱海保护管理范围划分为一、二、三级保护区：</w:t>
                  </w:r>
                </w:p>
                <w:p>
                  <w:pPr>
                    <w:rPr>
                      <w:sz w:val="21"/>
                      <w:szCs w:val="21"/>
                      <w:shd w:val="clear" w:color="auto" w:fill="FFFFFF"/>
                    </w:rPr>
                  </w:pPr>
                  <w:r>
                    <w:rPr>
                      <w:sz w:val="21"/>
                      <w:szCs w:val="21"/>
                      <w:shd w:val="clear" w:color="auto" w:fill="FFFFFF"/>
                    </w:rPr>
                    <w:t>（一）一级保护区为洱海湖区以及海西、海北片区洱海最高运行水位水平向外延伸100米以内的区域；</w:t>
                  </w:r>
                </w:p>
                <w:p>
                  <w:pPr>
                    <w:rPr>
                      <w:sz w:val="21"/>
                      <w:szCs w:val="21"/>
                      <w:shd w:val="clear" w:color="auto" w:fill="FFFFFF"/>
                    </w:rPr>
                  </w:pPr>
                  <w:r>
                    <w:rPr>
                      <w:sz w:val="21"/>
                      <w:szCs w:val="21"/>
                      <w:shd w:val="clear" w:color="auto" w:fill="FFFFFF"/>
                    </w:rPr>
                    <w:t>（二）二级保护区为一级保护区以外，海西片区南起阳南溪沿大理至丽江二级公路，北至罗时江临湖一侧路缘线以内的区域；海北片区西起罗时江沿大理至丽江二级公路和老环海路，东至马厂村老环海路与环海东路交接处临湖一侧路缘线以内的区域；</w:t>
                  </w:r>
                </w:p>
                <w:p>
                  <w:pPr>
                    <w:rPr>
                      <w:sz w:val="21"/>
                      <w:szCs w:val="21"/>
                      <w:shd w:val="clear" w:color="auto" w:fill="FFFFFF"/>
                    </w:rPr>
                  </w:pPr>
                  <w:r>
                    <w:rPr>
                      <w:sz w:val="21"/>
                      <w:szCs w:val="21"/>
                      <w:shd w:val="clear" w:color="auto" w:fill="FFFFFF"/>
                    </w:rPr>
                    <w:t>（三）三级保护区为一、二级保护区以外的洱海流域。</w:t>
                  </w:r>
                </w:p>
              </w:tc>
              <w:tc>
                <w:tcPr>
                  <w:tcW w:w="1767" w:type="dxa"/>
                  <w:vAlign w:val="center"/>
                </w:tcPr>
                <w:p>
                  <w:pPr>
                    <w:rPr>
                      <w:sz w:val="21"/>
                      <w:szCs w:val="21"/>
                    </w:rPr>
                  </w:pPr>
                  <w:r>
                    <w:rPr>
                      <w:sz w:val="21"/>
                      <w:szCs w:val="21"/>
                    </w:rPr>
                    <w:t>本项目位于洱源县，洱海以北的区域，属于洱海保护管理范围的三级保护区域</w:t>
                  </w:r>
                </w:p>
                <w:p>
                  <w:pPr>
                    <w:rPr>
                      <w:sz w:val="21"/>
                      <w:szCs w:val="21"/>
                    </w:rPr>
                  </w:pPr>
                </w:p>
                <w:p>
                  <w:pPr>
                    <w:rPr>
                      <w:sz w:val="21"/>
                      <w:szCs w:val="21"/>
                    </w:rPr>
                  </w:pPr>
                </w:p>
              </w:tc>
              <w:tc>
                <w:tcPr>
                  <w:tcW w:w="931" w:type="dxa"/>
                  <w:vAlign w:val="center"/>
                </w:tcPr>
                <w:p>
                  <w:pP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p>
              </w:tc>
              <w:tc>
                <w:tcPr>
                  <w:tcW w:w="5070" w:type="dxa"/>
                  <w:vAlign w:val="center"/>
                </w:tcPr>
                <w:p>
                  <w:pPr>
                    <w:rPr>
                      <w:sz w:val="21"/>
                      <w:szCs w:val="21"/>
                      <w:shd w:val="clear" w:color="auto" w:fill="FFFFFF"/>
                    </w:rPr>
                  </w:pPr>
                  <w:r>
                    <w:rPr>
                      <w:sz w:val="21"/>
                      <w:szCs w:val="21"/>
                      <w:shd w:val="clear" w:color="auto" w:fill="FFFFFF"/>
                    </w:rPr>
                    <w:t>第五十一条 三级保护区内禁止下列行为：</w:t>
                  </w:r>
                </w:p>
                <w:p>
                  <w:pPr>
                    <w:rPr>
                      <w:sz w:val="21"/>
                      <w:szCs w:val="21"/>
                      <w:shd w:val="clear" w:color="auto" w:fill="FFFFFF"/>
                    </w:rPr>
                  </w:pPr>
                  <w:r>
                    <w:rPr>
                      <w:sz w:val="21"/>
                      <w:szCs w:val="21"/>
                      <w:shd w:val="clear" w:color="auto" w:fill="FFFFFF"/>
                    </w:rPr>
                    <w:t>（一）侵占湿地、水库、河道；</w:t>
                  </w:r>
                </w:p>
                <w:p>
                  <w:pPr>
                    <w:rPr>
                      <w:sz w:val="21"/>
                      <w:szCs w:val="21"/>
                      <w:shd w:val="clear" w:color="auto" w:fill="FFFFFF"/>
                    </w:rPr>
                  </w:pPr>
                  <w:r>
                    <w:rPr>
                      <w:sz w:val="21"/>
                      <w:szCs w:val="21"/>
                      <w:shd w:val="clear" w:color="auto" w:fill="FFFFFF"/>
                    </w:rPr>
                    <w:t>（二）使用炸鱼、毒鱼、电鱼等破坏渔业资源方法或者禁用的渔具、捕捞方法和网具进行捕捞；</w:t>
                  </w:r>
                </w:p>
                <w:p>
                  <w:pPr>
                    <w:rPr>
                      <w:sz w:val="21"/>
                      <w:szCs w:val="21"/>
                      <w:shd w:val="clear" w:color="auto" w:fill="FFFFFF"/>
                    </w:rPr>
                  </w:pPr>
                  <w:r>
                    <w:rPr>
                      <w:sz w:val="21"/>
                      <w:szCs w:val="21"/>
                      <w:shd w:val="clear" w:color="auto" w:fill="FFFFFF"/>
                    </w:rPr>
                    <w:t>（三）擅自砍伐林木；</w:t>
                  </w:r>
                </w:p>
                <w:p>
                  <w:pPr>
                    <w:rPr>
                      <w:sz w:val="21"/>
                      <w:szCs w:val="21"/>
                      <w:shd w:val="clear" w:color="auto" w:fill="FFFFFF"/>
                    </w:rPr>
                  </w:pPr>
                  <w:r>
                    <w:rPr>
                      <w:sz w:val="21"/>
                      <w:szCs w:val="21"/>
                      <w:shd w:val="clear" w:color="auto" w:fill="FFFFFF"/>
                    </w:rPr>
                    <w:t>（四）擅自取水或者违反取水许可规定取水；</w:t>
                  </w:r>
                </w:p>
                <w:p>
                  <w:pPr>
                    <w:rPr>
                      <w:sz w:val="21"/>
                      <w:szCs w:val="21"/>
                      <w:shd w:val="clear" w:color="auto" w:fill="FFFFFF"/>
                    </w:rPr>
                  </w:pPr>
                  <w:r>
                    <w:rPr>
                      <w:sz w:val="21"/>
                      <w:szCs w:val="21"/>
                      <w:shd w:val="clear" w:color="auto" w:fill="FFFFFF"/>
                    </w:rPr>
                    <w:t>（五）选矿、采矿；</w:t>
                  </w:r>
                </w:p>
                <w:p>
                  <w:pPr>
                    <w:rPr>
                      <w:sz w:val="21"/>
                      <w:szCs w:val="21"/>
                      <w:shd w:val="clear" w:color="auto" w:fill="FFFFFF"/>
                    </w:rPr>
                  </w:pPr>
                  <w:r>
                    <w:rPr>
                      <w:sz w:val="21"/>
                      <w:szCs w:val="21"/>
                      <w:shd w:val="clear" w:color="auto" w:fill="FFFFFF"/>
                    </w:rPr>
                    <w:t>（六）向湖泊、水库、河流、湿地、农田排放污水、废油及其他废液，倾倒或者掩埋土、石、尾矿、垃圾和动物尸体及其他废弃物；</w:t>
                  </w:r>
                </w:p>
                <w:p>
                  <w:pPr>
                    <w:rPr>
                      <w:sz w:val="21"/>
                      <w:szCs w:val="21"/>
                      <w:shd w:val="clear" w:color="auto" w:fill="FFFFFF"/>
                    </w:rPr>
                  </w:pPr>
                  <w:r>
                    <w:rPr>
                      <w:sz w:val="21"/>
                      <w:szCs w:val="21"/>
                      <w:shd w:val="clear" w:color="auto" w:fill="FFFFFF"/>
                    </w:rPr>
                    <w:t>（七）弃置、掩埋有毒物质；</w:t>
                  </w:r>
                </w:p>
                <w:p>
                  <w:pPr>
                    <w:rPr>
                      <w:sz w:val="21"/>
                      <w:szCs w:val="21"/>
                      <w:shd w:val="clear" w:color="auto" w:fill="FFFFFF"/>
                    </w:rPr>
                  </w:pPr>
                  <w:r>
                    <w:rPr>
                      <w:sz w:val="21"/>
                      <w:szCs w:val="21"/>
                      <w:shd w:val="clear" w:color="auto" w:fill="FFFFFF"/>
                    </w:rPr>
                    <w:t>（八）生产、销售和使用国家禁止和限制使用的剧毒、高毒农药；</w:t>
                  </w:r>
                </w:p>
                <w:p>
                  <w:pPr>
                    <w:rPr>
                      <w:sz w:val="21"/>
                      <w:szCs w:val="21"/>
                      <w:shd w:val="clear" w:color="auto" w:fill="FFFFFF"/>
                    </w:rPr>
                  </w:pPr>
                  <w:r>
                    <w:rPr>
                      <w:sz w:val="21"/>
                      <w:szCs w:val="21"/>
                      <w:shd w:val="clear" w:color="auto" w:fill="FFFFFF"/>
                    </w:rPr>
                    <w:t>（九）生产、销售和使用含磷洗涤用品或者不可降解的泡沫塑料餐饮具、塑料袋；</w:t>
                  </w:r>
                </w:p>
                <w:p>
                  <w:pPr>
                    <w:rPr>
                      <w:sz w:val="21"/>
                      <w:szCs w:val="21"/>
                      <w:shd w:val="clear" w:color="auto" w:fill="FFFFFF"/>
                    </w:rPr>
                  </w:pPr>
                  <w:r>
                    <w:rPr>
                      <w:sz w:val="21"/>
                      <w:szCs w:val="21"/>
                      <w:shd w:val="clear" w:color="auto" w:fill="FFFFFF"/>
                    </w:rPr>
                    <w:t>（十）建设化工、冶金、制浆、制革、电镀、电解、水泥以及其他严重污染水环境的工业项目；</w:t>
                  </w:r>
                </w:p>
                <w:p>
                  <w:pPr>
                    <w:rPr>
                      <w:sz w:val="21"/>
                      <w:szCs w:val="21"/>
                      <w:shd w:val="clear" w:color="auto" w:fill="FFFFFF"/>
                    </w:rPr>
                  </w:pPr>
                  <w:r>
                    <w:rPr>
                      <w:sz w:val="21"/>
                      <w:szCs w:val="21"/>
                      <w:shd w:val="clear" w:color="auto" w:fill="FFFFFF"/>
                    </w:rPr>
                    <w:t>（十一）盗窃、损毁界桩、标识标牌、堤坝、沟渠、桥闸、水文、气象、测量、码头、航标、环境监测、科研、排水、排污、截污、治污等设施；</w:t>
                  </w:r>
                </w:p>
              </w:tc>
              <w:tc>
                <w:tcPr>
                  <w:tcW w:w="1767" w:type="dxa"/>
                  <w:vAlign w:val="center"/>
                </w:tcPr>
                <w:p>
                  <w:pPr>
                    <w:rPr>
                      <w:sz w:val="21"/>
                      <w:szCs w:val="21"/>
                    </w:rPr>
                  </w:pPr>
                  <w:r>
                    <w:rPr>
                      <w:sz w:val="21"/>
                      <w:szCs w:val="21"/>
                    </w:rPr>
                    <w:t>本项目本项目为洱海流域范围内的污水集中收集处理工程，项目建设内容不涉及条例中的禁止行为，实施后有利于洱海主要入湖河流的水污染防治和保护</w:t>
                  </w:r>
                </w:p>
                <w:p>
                  <w:pPr>
                    <w:rPr>
                      <w:sz w:val="21"/>
                      <w:szCs w:val="21"/>
                    </w:rPr>
                  </w:pPr>
                </w:p>
              </w:tc>
              <w:tc>
                <w:tcPr>
                  <w:tcW w:w="931" w:type="dxa"/>
                  <w:vAlign w:val="center"/>
                </w:tcPr>
                <w:p>
                  <w:pP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r>
                    <w:rPr>
                      <w:sz w:val="21"/>
                      <w:szCs w:val="21"/>
                    </w:rPr>
                    <w:t>4</w:t>
                  </w:r>
                </w:p>
              </w:tc>
              <w:tc>
                <w:tcPr>
                  <w:tcW w:w="5070" w:type="dxa"/>
                </w:tcPr>
                <w:p>
                  <w:pPr>
                    <w:rPr>
                      <w:sz w:val="21"/>
                      <w:szCs w:val="21"/>
                    </w:rPr>
                  </w:pPr>
                  <w:r>
                    <w:rPr>
                      <w:sz w:val="21"/>
                      <w:szCs w:val="21"/>
                    </w:rPr>
                    <w:t>第十五条 大理市、洱源县人民政府组织实施本行政区域内的洱海保护管理工作，履行下列职责：</w:t>
                  </w:r>
                </w:p>
                <w:p>
                  <w:pPr>
                    <w:rPr>
                      <w:sz w:val="21"/>
                      <w:szCs w:val="21"/>
                    </w:rPr>
                  </w:pPr>
                  <w:r>
                    <w:rPr>
                      <w:sz w:val="21"/>
                      <w:szCs w:val="21"/>
                    </w:rPr>
                    <w:t>（二）实施洱海流域水污染防治规划、保护治理方案和主要水污染物排放总量控制计划，制定具体保护措施，落实目标责任；</w:t>
                  </w:r>
                </w:p>
                <w:p>
                  <w:pPr>
                    <w:rPr>
                      <w:sz w:val="21"/>
                      <w:szCs w:val="21"/>
                    </w:rPr>
                  </w:pPr>
                  <w:r>
                    <w:rPr>
                      <w:sz w:val="21"/>
                      <w:szCs w:val="21"/>
                    </w:rPr>
                    <w:t>（三）落实促进洱海流域产业转型、绿色发展的政策措施；</w:t>
                  </w:r>
                </w:p>
                <w:p>
                  <w:pPr>
                    <w:rPr>
                      <w:sz w:val="21"/>
                      <w:szCs w:val="21"/>
                    </w:rPr>
                  </w:pPr>
                  <w:r>
                    <w:rPr>
                      <w:sz w:val="21"/>
                      <w:szCs w:val="21"/>
                    </w:rPr>
                    <w:t>（四）实施洱海流域水资源调度；</w:t>
                  </w:r>
                </w:p>
                <w:p>
                  <w:pPr>
                    <w:rPr>
                      <w:sz w:val="21"/>
                      <w:szCs w:val="21"/>
                    </w:rPr>
                  </w:pPr>
                  <w:r>
                    <w:rPr>
                      <w:sz w:val="21"/>
                      <w:szCs w:val="21"/>
                    </w:rPr>
                    <w:t>（五）组织建设和维护洱海保护治理设施；</w:t>
                  </w:r>
                </w:p>
                <w:p>
                  <w:pPr>
                    <w:rPr>
                      <w:sz w:val="21"/>
                      <w:szCs w:val="21"/>
                    </w:rPr>
                  </w:pPr>
                  <w:r>
                    <w:rPr>
                      <w:sz w:val="21"/>
                      <w:szCs w:val="21"/>
                    </w:rPr>
                    <w:t>（六）制定入湖河道污染治理方案，负责河道截污、治污、清淤、保洁等保护治理工作；</w:t>
                  </w:r>
                </w:p>
                <w:p>
                  <w:pPr>
                    <w:rPr>
                      <w:sz w:val="21"/>
                      <w:szCs w:val="21"/>
                    </w:rPr>
                  </w:pPr>
                  <w:r>
                    <w:rPr>
                      <w:sz w:val="21"/>
                      <w:szCs w:val="21"/>
                    </w:rPr>
                    <w:t>（七）制定并实施入湖面源污染控制措施；</w:t>
                  </w:r>
                </w:p>
                <w:p>
                  <w:pPr>
                    <w:rPr>
                      <w:sz w:val="21"/>
                      <w:szCs w:val="21"/>
                    </w:rPr>
                  </w:pPr>
                  <w:r>
                    <w:rPr>
                      <w:sz w:val="21"/>
                      <w:szCs w:val="21"/>
                    </w:rPr>
                    <w:t>（八）建立农村生活垃圾处置制度和农村垃圾、污水、固体废弃物收集处置系统；</w:t>
                  </w:r>
                </w:p>
              </w:tc>
              <w:tc>
                <w:tcPr>
                  <w:tcW w:w="1767" w:type="dxa"/>
                </w:tcPr>
                <w:p>
                  <w:pPr>
                    <w:rPr>
                      <w:sz w:val="21"/>
                      <w:szCs w:val="21"/>
                    </w:rPr>
                  </w:pPr>
                  <w:r>
                    <w:rPr>
                      <w:sz w:val="21"/>
                      <w:szCs w:val="21"/>
                    </w:rPr>
                    <w:t>项目建设内容为生活污水集中收集处理设施，拟建配套湿地，项目施工期和运行期将严格按照工程设计和环评提出的环保措施做好废水、固废的防治，做到施工废水不外排，运行期污水处理设施达标排放，固废得到合理处置</w:t>
                  </w:r>
                </w:p>
              </w:tc>
              <w:tc>
                <w:tcPr>
                  <w:tcW w:w="931" w:type="dxa"/>
                  <w:vAlign w:val="center"/>
                </w:tcPr>
                <w:p>
                  <w:pPr>
                    <w:rPr>
                      <w:sz w:val="21"/>
                      <w:szCs w:val="21"/>
                    </w:rPr>
                  </w:pPr>
                  <w:r>
                    <w:rPr>
                      <w:sz w:val="21"/>
                      <w:szCs w:val="21"/>
                    </w:rPr>
                    <w:t>符合</w:t>
                  </w:r>
                </w:p>
              </w:tc>
            </w:tr>
          </w:tbl>
          <w:p>
            <w:pPr>
              <w:spacing w:line="360" w:lineRule="auto"/>
              <w:ind w:firstLine="480" w:firstLineChars="200"/>
            </w:pPr>
            <w:r>
              <w:rPr>
                <w:rFonts w:hint="eastAsia"/>
              </w:rPr>
              <w:t>根据分析结果，本项目建设区位于洱海流域三级保护区内，项目建设内容为生活污水集中收集处理设施，拟建配套湿地，项目在严格按照工程设计和环评提出的环境保护措施和水土流失防治措施进行建设，项目实施后实现就地就近利用，不外排，有利于洱海主要入湖河流的水污染防治和保护。因此，拟建项目与《云南省大理白族自治州洱海管理条例（修订）》是相符的。</w:t>
            </w:r>
          </w:p>
          <w:p>
            <w:pPr>
              <w:spacing w:line="360" w:lineRule="auto"/>
              <w:ind w:firstLine="482" w:firstLineChars="200"/>
            </w:pPr>
            <w:r>
              <w:rPr>
                <w:rFonts w:hint="eastAsia"/>
                <w:b/>
                <w:bCs/>
                <w:szCs w:val="24"/>
              </w:rPr>
              <w:t xml:space="preserve"> 4、与《洱源县总体规划》（2012~2030）的相符性分析</w:t>
            </w:r>
          </w:p>
          <w:p>
            <w:pPr>
              <w:spacing w:line="360" w:lineRule="auto"/>
              <w:ind w:firstLine="480" w:firstLineChars="200"/>
              <w:rPr>
                <w:szCs w:val="24"/>
              </w:rPr>
            </w:pPr>
            <w:r>
              <w:rPr>
                <w:rFonts w:hint="eastAsia"/>
                <w:szCs w:val="24"/>
              </w:rPr>
              <w:t>《洱源县总体规划》</w:t>
            </w:r>
            <w:r>
              <w:rPr>
                <w:rFonts w:hint="eastAsia"/>
              </w:rPr>
              <w:t>（2012~2030）</w:t>
            </w:r>
            <w:r>
              <w:rPr>
                <w:rFonts w:hint="eastAsia"/>
                <w:szCs w:val="24"/>
              </w:rPr>
              <w:t>中整体水环境规划保护目标为：“凤羽河和海尾河水质达到《地表水环境质量标准》（GB3838-2002）Ⅲ类标准”。本</w:t>
            </w:r>
            <w:r>
              <w:rPr>
                <w:rFonts w:hint="eastAsia"/>
              </w:rPr>
              <w:t>项目建设内容为生活污水集中收集处理设施，项目管网工程实施后，</w:t>
            </w:r>
            <w:r>
              <w:rPr>
                <w:rFonts w:hint="eastAsia" w:hAnsi="宋体"/>
              </w:rPr>
              <w:t>完善村镇内的污水管沟和排水系统，有效避免了污水横流污染附近地表水体的；</w:t>
            </w:r>
            <w:r>
              <w:rPr>
                <w:rFonts w:hint="eastAsia"/>
                <w:bCs/>
              </w:rPr>
              <w:t>项目污水厂改造实施后，能够保证污水处理厂出水稳定达标。</w:t>
            </w:r>
            <w:r>
              <w:rPr>
                <w:rFonts w:hint="eastAsia" w:hAnsi="宋体"/>
              </w:rPr>
              <w:t>实现洱源县区域内</w:t>
            </w:r>
            <w:r>
              <w:rPr>
                <w:rFonts w:hint="eastAsia"/>
                <w:szCs w:val="24"/>
              </w:rPr>
              <w:t>凤羽河和海尾水质达到《地表水环境质量标准》（GB3838-2002）Ⅲ类标准起到一定的效果。</w:t>
            </w:r>
            <w:r>
              <w:rPr>
                <w:rFonts w:hint="eastAsia"/>
              </w:rPr>
              <w:t>因此，拟建项目与《</w:t>
            </w:r>
            <w:r>
              <w:rPr>
                <w:rFonts w:hint="eastAsia"/>
                <w:szCs w:val="24"/>
              </w:rPr>
              <w:t>洱源县总体规划</w:t>
            </w:r>
            <w:r>
              <w:rPr>
                <w:rFonts w:hint="eastAsia"/>
              </w:rPr>
              <w:t>》（2012~2030）是相符的。</w:t>
            </w:r>
          </w:p>
          <w:p>
            <w:pPr>
              <w:pStyle w:val="103"/>
              <w:adjustRightInd w:val="0"/>
              <w:snapToGrid w:val="0"/>
              <w:rPr>
                <w:rFonts w:ascii="宋体" w:hAnsi="宋体" w:cs="仿宋_GB2312"/>
              </w:rPr>
            </w:pPr>
            <w:r>
              <w:rPr>
                <w:rFonts w:hint="eastAsia"/>
                <w:bCs w:val="0"/>
                <w:szCs w:val="24"/>
              </w:rPr>
              <w:t>（五）</w:t>
            </w:r>
            <w:r>
              <w:rPr>
                <w:rFonts w:hint="eastAsia"/>
              </w:rPr>
              <w:t>“以新带老”</w:t>
            </w:r>
            <w:r>
              <w:rPr>
                <w:rFonts w:hint="eastAsia"/>
                <w:szCs w:val="24"/>
              </w:rPr>
              <w:t>措施有效性分析</w:t>
            </w:r>
          </w:p>
          <w:p>
            <w:pPr>
              <w:adjustRightInd w:val="0"/>
              <w:snapToGrid w:val="0"/>
              <w:spacing w:line="360" w:lineRule="auto"/>
              <w:ind w:firstLine="480" w:firstLineChars="200"/>
              <w:rPr>
                <w:bCs/>
              </w:rPr>
            </w:pPr>
            <w:r>
              <w:rPr>
                <w:rFonts w:hint="eastAsia"/>
              </w:rPr>
              <w:t>本项目实施之后，通过对邓川、右所污水厂的主要生化处理工艺进行改造，能够保证出水水质稳定达到《地表水环境质量标准》（GB3838-2002）中 Ⅳ类水质标准</w:t>
            </w:r>
            <w:r>
              <w:t>限值</w:t>
            </w:r>
            <w:r>
              <w:rPr>
                <w:rFonts w:hint="eastAsia"/>
              </w:rPr>
              <w:t>的要求（总氮达到《城镇污水处理厂污染物排放标准》（GB18918-2002）一级A标准），实现主要污染物削减量为COD：26.7232t/a，氨氮：0.3022t/a；右所污水厂主要污染物削减量为COD：7.058t/a，氨氮：0.0610t/a。同时，通过对</w:t>
            </w:r>
            <w:r>
              <w:rPr>
                <w:szCs w:val="24"/>
              </w:rPr>
              <w:t>茈碧湖镇、右所镇、凤羽镇、牛街乡、三营镇</w:t>
            </w:r>
            <w:r>
              <w:rPr>
                <w:rFonts w:hint="eastAsia"/>
                <w:szCs w:val="24"/>
              </w:rPr>
              <w:t>5</w:t>
            </w:r>
            <w:r>
              <w:rPr>
                <w:szCs w:val="24"/>
              </w:rPr>
              <w:t>个乡镇</w:t>
            </w:r>
            <w:r>
              <w:rPr>
                <w:rFonts w:hint="eastAsia"/>
                <w:szCs w:val="24"/>
              </w:rPr>
              <w:t>4</w:t>
            </w:r>
            <w:r>
              <w:rPr>
                <w:szCs w:val="24"/>
              </w:rPr>
              <w:t>1个自然村的管网</w:t>
            </w:r>
            <w:r>
              <w:rPr>
                <w:rFonts w:hint="eastAsia"/>
                <w:szCs w:val="24"/>
              </w:rPr>
              <w:t>清淤、</w:t>
            </w:r>
            <w:r>
              <w:rPr>
                <w:szCs w:val="24"/>
              </w:rPr>
              <w:t>修复</w:t>
            </w:r>
            <w:r>
              <w:rPr>
                <w:rFonts w:hint="eastAsia"/>
                <w:szCs w:val="24"/>
              </w:rPr>
              <w:t>和完善之后，实现各村污水管网全部覆盖，保证污水全面收集，改善了井盖及管道周边跑冒滴漏的局面，有效减轻了对周围地表水体的影响以及村镇内的景观风貌。</w:t>
            </w:r>
          </w:p>
          <w:p>
            <w:pPr>
              <w:adjustRightInd w:val="0"/>
              <w:snapToGrid w:val="0"/>
              <w:spacing w:line="360" w:lineRule="auto"/>
              <w:ind w:firstLine="480" w:firstLineChars="200"/>
              <w:rPr>
                <w:bCs/>
              </w:rPr>
            </w:pPr>
            <w:r>
              <w:rPr>
                <w:rFonts w:hint="eastAsia"/>
                <w:bCs/>
              </w:rPr>
              <w:t>因此，通过本次技改项目实施后，对原有污水厂及管网达到了“以新带老”效果，项目实施是非常必要可行的。</w:t>
            </w:r>
          </w:p>
          <w:p>
            <w:pPr>
              <w:tabs>
                <w:tab w:val="left" w:pos="0"/>
              </w:tabs>
              <w:adjustRightInd w:val="0"/>
              <w:snapToGrid w:val="0"/>
              <w:spacing w:line="360" w:lineRule="auto"/>
              <w:ind w:firstLine="482" w:firstLineChars="200"/>
              <w:rPr>
                <w:b/>
                <w:bCs/>
                <w:szCs w:val="24"/>
              </w:rPr>
            </w:pPr>
            <w:r>
              <w:rPr>
                <w:rFonts w:hint="eastAsia"/>
                <w:b/>
                <w:bCs/>
                <w:szCs w:val="24"/>
              </w:rPr>
              <w:t>（六）项目可行性分析</w:t>
            </w:r>
          </w:p>
          <w:p>
            <w:pPr>
              <w:tabs>
                <w:tab w:val="left" w:pos="0"/>
              </w:tabs>
              <w:adjustRightInd w:val="0"/>
              <w:snapToGrid w:val="0"/>
              <w:spacing w:line="360" w:lineRule="auto"/>
              <w:ind w:firstLine="482" w:firstLineChars="200"/>
              <w:rPr>
                <w:b/>
                <w:bCs/>
                <w:szCs w:val="24"/>
              </w:rPr>
            </w:pPr>
            <w:r>
              <w:rPr>
                <w:rFonts w:hint="eastAsia"/>
                <w:b/>
                <w:bCs/>
                <w:szCs w:val="24"/>
              </w:rPr>
              <w:t>1、</w:t>
            </w:r>
            <w:r>
              <w:rPr>
                <w:b/>
                <w:bCs/>
                <w:szCs w:val="24"/>
              </w:rPr>
              <w:t>项目产业政策相符性分析</w:t>
            </w:r>
          </w:p>
          <w:p>
            <w:pPr>
              <w:tabs>
                <w:tab w:val="left" w:pos="0"/>
              </w:tabs>
              <w:adjustRightInd w:val="0"/>
              <w:snapToGrid w:val="0"/>
              <w:spacing w:line="360" w:lineRule="auto"/>
              <w:ind w:firstLine="480" w:firstLineChars="200"/>
              <w:rPr>
                <w:szCs w:val="24"/>
              </w:rPr>
            </w:pPr>
            <w:r>
              <w:rPr>
                <w:szCs w:val="24"/>
              </w:rPr>
              <w:t>本项目属于</w:t>
            </w:r>
            <w:r>
              <w:rPr>
                <w:rFonts w:hint="eastAsia"/>
                <w:szCs w:val="24"/>
              </w:rPr>
              <w:t>污水集中收集处理工程。根据中华人民共和国国家发展和改革委员会令《产业结构调整指导目录（2019 年本）》，本项目属于鼓励类第二十二“城市基础设施”中的“9、城镇供排水管网工程、管网排查、检测及修复与改造工程和再生水利用技术与工程”，因此，本项目符合国家产业政策。且本项目已于2019年9月12日取得洱源县发展和改革局文件（洱发改复﹝2019﹞13号）。</w:t>
            </w:r>
          </w:p>
          <w:p>
            <w:pPr>
              <w:tabs>
                <w:tab w:val="left" w:pos="0"/>
              </w:tabs>
              <w:adjustRightInd w:val="0"/>
              <w:snapToGrid w:val="0"/>
              <w:spacing w:line="360" w:lineRule="auto"/>
              <w:ind w:firstLine="482" w:firstLineChars="200"/>
              <w:rPr>
                <w:b/>
                <w:bCs/>
                <w:szCs w:val="24"/>
              </w:rPr>
            </w:pPr>
            <w:r>
              <w:rPr>
                <w:rFonts w:hint="eastAsia"/>
                <w:b/>
                <w:bCs/>
                <w:szCs w:val="24"/>
              </w:rPr>
              <w:t>2、</w:t>
            </w:r>
            <w:r>
              <w:rPr>
                <w:b/>
                <w:bCs/>
                <w:szCs w:val="24"/>
              </w:rPr>
              <w:t>项目选址</w:t>
            </w:r>
            <w:r>
              <w:rPr>
                <w:rFonts w:hint="eastAsia"/>
                <w:b/>
                <w:bCs/>
                <w:szCs w:val="24"/>
              </w:rPr>
              <w:t>合理性</w:t>
            </w:r>
            <w:r>
              <w:rPr>
                <w:b/>
                <w:bCs/>
                <w:szCs w:val="24"/>
              </w:rPr>
              <w:t>分析</w:t>
            </w:r>
          </w:p>
          <w:p>
            <w:pPr>
              <w:pStyle w:val="20"/>
              <w:adjustRightInd w:val="0"/>
              <w:snapToGrid w:val="0"/>
              <w:ind w:firstLine="480" w:firstLineChars="200"/>
              <w:rPr>
                <w:rFonts w:ascii="Times New Roman" w:hAnsi="Times New Roman"/>
                <w:color w:val="auto"/>
                <w:szCs w:val="24"/>
              </w:rPr>
            </w:pPr>
            <w:r>
              <w:rPr>
                <w:rFonts w:ascii="Times New Roman" w:hAnsi="Times New Roman"/>
                <w:color w:val="auto"/>
                <w:szCs w:val="24"/>
              </w:rPr>
              <w:t>本</w:t>
            </w:r>
            <w:r>
              <w:rPr>
                <w:rFonts w:hint="eastAsia" w:ascii="Times New Roman" w:hAnsi="Times New Roman"/>
                <w:color w:val="auto"/>
                <w:szCs w:val="24"/>
              </w:rPr>
              <w:t>次新建项目为牛街污水厂，在原有预留用地上新建，位于牛街乡牛街村委会文登村，地理坐标为：北纬26°14′47″，东经99°59′17″，所在位置地势较为平坦，距离西面的弥茨河约400m，距离北面的文登村村民集中区约30m，南面紧邻原有的牛街污水处理厂。</w:t>
            </w:r>
          </w:p>
          <w:p>
            <w:pPr>
              <w:adjustRightInd w:val="0"/>
              <w:snapToGrid w:val="0"/>
              <w:spacing w:line="360" w:lineRule="auto"/>
              <w:ind w:firstLine="482"/>
            </w:pPr>
            <w:r>
              <w:rPr>
                <w:rFonts w:hint="eastAsia"/>
                <w:szCs w:val="24"/>
              </w:rPr>
              <w:t>本项目属于城市基础设施项目，项目在综合考虑接管可行性等多方面因素在原有老厂预留用地上扩建，老厂运行至今已有10余年历史。且本次属于未批先建，目前已正常运行，运行过程中均未收到附近村民的投诉建议，也未发生污染纠纷事故。根据现场踏勘调查，从感官上没有强烈的臭味刺激，且废气的预测结果能够达标排放；同时，产噪设备均置于封闭的隔声设备房内，现场未发现明显的噪声。因此，本环评建议，生产运营过程中及时做好与附近居民的沟通访问调查，及时了解本项目对居民的影响程度，并根据实际情况改进废气和噪声措施，</w:t>
            </w:r>
            <w:r>
              <w:rPr>
                <w:rFonts w:hint="eastAsia"/>
              </w:rPr>
              <w:t>如有必要，应将牛街污水厂污水处理单元的无组织排放的臭气通过密封收集处理后改为以有组织的形式排放，同时在紧邻居民一侧安装声屏障。</w:t>
            </w:r>
          </w:p>
          <w:p>
            <w:pPr>
              <w:adjustRightInd w:val="0"/>
              <w:snapToGrid w:val="0"/>
              <w:spacing w:line="360" w:lineRule="auto"/>
              <w:ind w:firstLine="482" w:firstLineChars="200"/>
              <w:outlineLvl w:val="1"/>
              <w:rPr>
                <w:b/>
                <w:bCs/>
              </w:rPr>
            </w:pPr>
            <w:r>
              <w:rPr>
                <w:rFonts w:hint="eastAsia"/>
                <w:b/>
                <w:bCs/>
              </w:rPr>
              <w:t>3、环境效益可行性分析</w:t>
            </w:r>
          </w:p>
          <w:p>
            <w:pPr>
              <w:adjustRightInd w:val="0"/>
              <w:snapToGrid w:val="0"/>
              <w:spacing w:line="360" w:lineRule="auto"/>
              <w:ind w:firstLine="482"/>
            </w:pPr>
            <w:r>
              <w:rPr>
                <w:rFonts w:hint="eastAsia"/>
              </w:rPr>
              <w:t>本工程建成后，可将洱源县的牛街乡、右所镇和邓川镇3个乡镇行政区范围内居民生活污水全面收集处理，共设计处理规模为4000m</w:t>
            </w:r>
            <w:r>
              <w:rPr>
                <w:rFonts w:hint="eastAsia"/>
                <w:vertAlign w:val="superscript"/>
              </w:rPr>
              <w:t>3</w:t>
            </w:r>
            <w:r>
              <w:rPr>
                <w:rFonts w:hint="eastAsia"/>
              </w:rPr>
              <w:t>/d，每年可减少排入水体的污染物量为COD：135.89t/a，TN：36.68t/a，NH</w:t>
            </w:r>
            <w:r>
              <w:rPr>
                <w:rFonts w:hint="eastAsia"/>
                <w:vertAlign w:val="subscript"/>
              </w:rPr>
              <w:t>3</w:t>
            </w:r>
            <w:r>
              <w:rPr>
                <w:rFonts w:hint="eastAsia"/>
              </w:rPr>
              <w:t>-N：42.18t/a</w:t>
            </w:r>
            <w:r>
              <w:t>，TP：</w:t>
            </w:r>
            <w:r>
              <w:rPr>
                <w:rFonts w:hint="eastAsia"/>
              </w:rPr>
              <w:t>3.87t/a</w:t>
            </w:r>
            <w:r>
              <w:t>，</w:t>
            </w:r>
            <w:r>
              <w:rPr>
                <w:rFonts w:hint="eastAsia"/>
              </w:rPr>
              <w:t>避免了废水污染物直接排放，有效减轻了对周围地表水体的污染负荷，从而使周边河道的水质得到很大程度的改善，从源头上有效减轻了对洱海的污染负荷，对整个洱海流域水质改善的体现出较好的社会效益和环</w:t>
            </w:r>
            <w:r>
              <w:rPr>
                <w:rFonts w:hint="eastAsia" w:ascii="宋体" w:hAnsi="宋体"/>
              </w:rPr>
              <w:t>境效益。</w:t>
            </w:r>
            <w:r>
              <w:rPr>
                <w:rFonts w:hint="eastAsia"/>
              </w:rPr>
              <w:tab/>
            </w:r>
          </w:p>
          <w:p>
            <w:pPr>
              <w:adjustRightInd w:val="0"/>
              <w:snapToGrid w:val="0"/>
              <w:spacing w:line="360" w:lineRule="auto"/>
              <w:ind w:firstLine="482" w:firstLineChars="200"/>
              <w:outlineLvl w:val="1"/>
              <w:rPr>
                <w:b/>
                <w:bCs/>
              </w:rPr>
            </w:pPr>
            <w:r>
              <w:rPr>
                <w:rFonts w:hint="eastAsia"/>
                <w:b/>
                <w:bCs/>
              </w:rPr>
              <w:t>（七）</w:t>
            </w:r>
            <w:r>
              <w:rPr>
                <w:b/>
                <w:bCs/>
              </w:rPr>
              <w:t>环境管理及监测计划</w:t>
            </w:r>
          </w:p>
          <w:p>
            <w:pPr>
              <w:pStyle w:val="5"/>
              <w:adjustRightInd w:val="0"/>
              <w:snapToGrid w:val="0"/>
              <w:spacing w:before="0" w:after="0" w:line="360" w:lineRule="auto"/>
              <w:ind w:firstLine="482" w:firstLineChars="200"/>
              <w:rPr>
                <w:kern w:val="2"/>
                <w:sz w:val="24"/>
                <w:szCs w:val="24"/>
              </w:rPr>
            </w:pPr>
            <w:r>
              <w:rPr>
                <w:kern w:val="2"/>
                <w:sz w:val="24"/>
                <w:szCs w:val="24"/>
              </w:rPr>
              <w:t>1、环境管理</w:t>
            </w:r>
          </w:p>
          <w:p>
            <w:pPr>
              <w:adjustRightInd w:val="0"/>
              <w:snapToGrid w:val="0"/>
              <w:spacing w:line="360" w:lineRule="auto"/>
              <w:ind w:firstLine="450"/>
            </w:pPr>
            <w:r>
              <w:t>（1） 环保机构</w:t>
            </w:r>
          </w:p>
          <w:p>
            <w:pPr>
              <w:adjustRightInd w:val="0"/>
              <w:snapToGrid w:val="0"/>
              <w:spacing w:line="360" w:lineRule="auto"/>
              <w:ind w:firstLine="561"/>
            </w:pPr>
            <w:r>
              <w:t>本项目在</w:t>
            </w:r>
            <w:r>
              <w:rPr>
                <w:rFonts w:hint="eastAsia"/>
              </w:rPr>
              <w:t>运营期</w:t>
            </w:r>
            <w:r>
              <w:t>应确定</w:t>
            </w:r>
            <w:r>
              <w:rPr>
                <w:rFonts w:hint="eastAsia"/>
              </w:rPr>
              <w:t>专人负责</w:t>
            </w:r>
            <w:r>
              <w:t>环保工作</w:t>
            </w:r>
            <w:r>
              <w:rPr>
                <w:rFonts w:hint="eastAsia"/>
              </w:rPr>
              <w:t>，维护好设备的正常运行</w:t>
            </w:r>
            <w:r>
              <w:t>。</w:t>
            </w:r>
          </w:p>
          <w:p>
            <w:pPr>
              <w:pStyle w:val="6"/>
              <w:adjustRightInd w:val="0"/>
              <w:snapToGrid w:val="0"/>
              <w:spacing w:line="360" w:lineRule="auto"/>
              <w:ind w:firstLine="480" w:firstLineChars="200"/>
              <w:rPr>
                <w:b w:val="0"/>
                <w:szCs w:val="24"/>
              </w:rPr>
            </w:pPr>
            <w:r>
              <w:rPr>
                <w:b w:val="0"/>
                <w:szCs w:val="24"/>
              </w:rPr>
              <w:t>（2）环保机构职能与责任</w:t>
            </w:r>
          </w:p>
          <w:p>
            <w:pPr>
              <w:adjustRightInd w:val="0"/>
              <w:snapToGrid w:val="0"/>
              <w:spacing w:line="360" w:lineRule="auto"/>
              <w:ind w:firstLine="480" w:firstLineChars="200"/>
            </w:pPr>
            <w:r>
              <w:t>① 贯彻执行上级规定的各项环保方针、政策和法规，对违反者进行制止并向上级报告。</w:t>
            </w:r>
          </w:p>
          <w:p>
            <w:pPr>
              <w:adjustRightInd w:val="0"/>
              <w:snapToGrid w:val="0"/>
              <w:spacing w:line="360" w:lineRule="auto"/>
              <w:ind w:firstLine="480" w:firstLineChars="200"/>
            </w:pPr>
            <w:r>
              <w:t>②强化环保设施的管理，定期检查环保设施的运转情况，排除故障，保证环保设施的正常运转，保证污染物的达标排放。</w:t>
            </w:r>
          </w:p>
          <w:p>
            <w:pPr>
              <w:adjustRightInd w:val="0"/>
              <w:snapToGrid w:val="0"/>
              <w:spacing w:line="360" w:lineRule="auto"/>
              <w:ind w:firstLine="480" w:firstLineChars="200"/>
            </w:pPr>
            <w:r>
              <w:t>③ 制定并执行环保治理设备的管理制度和操作规程，监督达标情况，控制污染，调查处理污染事故。</w:t>
            </w:r>
          </w:p>
          <w:p>
            <w:pPr>
              <w:pStyle w:val="5"/>
              <w:adjustRightInd w:val="0"/>
              <w:snapToGrid w:val="0"/>
              <w:spacing w:before="0" w:after="0" w:line="360" w:lineRule="auto"/>
              <w:ind w:firstLine="482" w:firstLineChars="200"/>
              <w:rPr>
                <w:b w:val="0"/>
                <w:kern w:val="2"/>
                <w:sz w:val="24"/>
                <w:szCs w:val="24"/>
              </w:rPr>
            </w:pPr>
            <w:r>
              <w:rPr>
                <w:kern w:val="2"/>
                <w:sz w:val="24"/>
                <w:szCs w:val="24"/>
              </w:rPr>
              <w:t>2、环境监测计划</w:t>
            </w:r>
          </w:p>
          <w:p>
            <w:pPr>
              <w:pStyle w:val="5"/>
              <w:adjustRightInd w:val="0"/>
              <w:snapToGrid w:val="0"/>
              <w:spacing w:before="0" w:after="0" w:line="360" w:lineRule="auto"/>
              <w:ind w:firstLine="480" w:firstLineChars="200"/>
              <w:rPr>
                <w:b w:val="0"/>
                <w:kern w:val="2"/>
                <w:sz w:val="24"/>
                <w:szCs w:val="24"/>
              </w:rPr>
            </w:pPr>
            <w:r>
              <w:rPr>
                <w:b w:val="0"/>
                <w:kern w:val="2"/>
                <w:sz w:val="24"/>
                <w:szCs w:val="24"/>
              </w:rPr>
              <w:t>（1）监测目的</w:t>
            </w:r>
          </w:p>
          <w:p>
            <w:pPr>
              <w:pStyle w:val="87"/>
              <w:snapToGrid w:val="0"/>
              <w:spacing w:beforeLines="0" w:afterLines="0" w:line="360" w:lineRule="auto"/>
              <w:ind w:firstLine="512"/>
              <w:jc w:val="both"/>
              <w:rPr>
                <w:color w:val="auto"/>
              </w:rPr>
            </w:pPr>
            <w:r>
              <w:rPr>
                <w:color w:val="auto"/>
              </w:rPr>
              <w:t>环境监测目的是为全面、及时掌握拟建项目污染动态变化，了解工程建设对项目所在地区的环境质量变化程度、影响范围，及时向主管部门反馈信息，为环境管理提供科学依据。</w:t>
            </w:r>
          </w:p>
          <w:p>
            <w:pPr>
              <w:pStyle w:val="5"/>
              <w:adjustRightInd w:val="0"/>
              <w:snapToGrid w:val="0"/>
              <w:spacing w:before="0" w:after="0" w:line="360" w:lineRule="auto"/>
              <w:ind w:firstLine="480" w:firstLineChars="200"/>
              <w:rPr>
                <w:b w:val="0"/>
                <w:kern w:val="2"/>
                <w:sz w:val="24"/>
                <w:szCs w:val="24"/>
              </w:rPr>
            </w:pPr>
            <w:bookmarkStart w:id="22" w:name="_Toc167098826"/>
            <w:bookmarkStart w:id="23" w:name="_Toc33258022"/>
            <w:r>
              <w:rPr>
                <w:b w:val="0"/>
                <w:kern w:val="2"/>
                <w:sz w:val="24"/>
                <w:szCs w:val="24"/>
              </w:rPr>
              <w:t>（2） 监测机构</w:t>
            </w:r>
            <w:bookmarkEnd w:id="22"/>
            <w:bookmarkEnd w:id="23"/>
            <w:r>
              <w:rPr>
                <w:rFonts w:hint="eastAsia"/>
                <w:b w:val="0"/>
                <w:kern w:val="2"/>
                <w:sz w:val="24"/>
                <w:szCs w:val="24"/>
              </w:rPr>
              <w:t>及要求</w:t>
            </w:r>
          </w:p>
          <w:p>
            <w:pPr>
              <w:pStyle w:val="87"/>
              <w:snapToGrid w:val="0"/>
              <w:spacing w:beforeLines="0" w:afterLines="0" w:line="360" w:lineRule="auto"/>
              <w:ind w:firstLine="512"/>
              <w:jc w:val="both"/>
              <w:rPr>
                <w:color w:val="auto"/>
              </w:rPr>
            </w:pPr>
            <w:r>
              <w:rPr>
                <w:color w:val="auto"/>
              </w:rPr>
              <w:t>建议运营期的环境监测应委托有资质的环境监测</w:t>
            </w:r>
            <w:r>
              <w:rPr>
                <w:rFonts w:hint="eastAsia"/>
                <w:color w:val="auto"/>
              </w:rPr>
              <w:t>单位</w:t>
            </w:r>
            <w:r>
              <w:rPr>
                <w:color w:val="auto"/>
              </w:rPr>
              <w:t>承担。监测分析方法采用国家环保局颁布的《环境监测技术规范》中相应项目的监测分析方法。评价标准执行本次环评确认的国家标准。</w:t>
            </w:r>
          </w:p>
          <w:p>
            <w:pPr>
              <w:pStyle w:val="5"/>
              <w:adjustRightInd w:val="0"/>
              <w:snapToGrid w:val="0"/>
              <w:spacing w:before="0" w:after="0" w:line="360" w:lineRule="auto"/>
              <w:ind w:firstLine="480" w:firstLineChars="200"/>
              <w:rPr>
                <w:b w:val="0"/>
                <w:kern w:val="2"/>
                <w:sz w:val="24"/>
                <w:szCs w:val="24"/>
              </w:rPr>
            </w:pPr>
            <w:bookmarkStart w:id="24" w:name="_Toc167098827"/>
            <w:bookmarkStart w:id="25" w:name="_Toc33258023"/>
            <w:r>
              <w:rPr>
                <w:b w:val="0"/>
                <w:kern w:val="2"/>
                <w:sz w:val="24"/>
                <w:szCs w:val="24"/>
              </w:rPr>
              <w:t>（3）监测实施</w:t>
            </w:r>
            <w:bookmarkEnd w:id="24"/>
            <w:bookmarkEnd w:id="25"/>
          </w:p>
          <w:p>
            <w:pPr>
              <w:pStyle w:val="87"/>
              <w:snapToGrid w:val="0"/>
              <w:spacing w:beforeLines="0" w:afterLines="0" w:line="360" w:lineRule="auto"/>
              <w:ind w:firstLine="512"/>
              <w:jc w:val="both"/>
              <w:rPr>
                <w:color w:val="auto"/>
              </w:rPr>
            </w:pPr>
            <w:r>
              <w:rPr>
                <w:rFonts w:hint="eastAsia"/>
                <w:color w:val="auto"/>
              </w:rPr>
              <w:t>根据</w:t>
            </w:r>
            <w:r>
              <w:rPr>
                <w:color w:val="auto"/>
              </w:rPr>
              <w:t xml:space="preserve">《环境影响评价技术导则 </w:t>
            </w:r>
            <w:r>
              <w:rPr>
                <w:rFonts w:hint="eastAsia"/>
                <w:color w:val="auto"/>
              </w:rPr>
              <w:t>大气</w:t>
            </w:r>
            <w:r>
              <w:rPr>
                <w:color w:val="auto"/>
              </w:rPr>
              <w:t>环境》（HJ2.</w:t>
            </w:r>
            <w:r>
              <w:rPr>
                <w:rFonts w:hint="eastAsia"/>
                <w:color w:val="auto"/>
              </w:rPr>
              <w:t>2</w:t>
            </w:r>
            <w:r>
              <w:rPr>
                <w:color w:val="auto"/>
              </w:rPr>
              <w:t>-20</w:t>
            </w:r>
            <w:r>
              <w:rPr>
                <w:rFonts w:hint="eastAsia"/>
                <w:color w:val="auto"/>
              </w:rPr>
              <w:t>18</w:t>
            </w:r>
            <w:r>
              <w:rPr>
                <w:color w:val="auto"/>
              </w:rPr>
              <w:t>）</w:t>
            </w:r>
            <w:r>
              <w:rPr>
                <w:rFonts w:hint="eastAsia"/>
                <w:color w:val="auto"/>
              </w:rPr>
              <w:t>，本项目大气环境影响评价等级为三级，在生产运营阶段必须进行废气污染物监测可以适当简化；根据</w:t>
            </w:r>
            <w:r>
              <w:rPr>
                <w:color w:val="auto"/>
              </w:rPr>
              <w:t>《环境影响评价技术导则</w:t>
            </w:r>
            <w:r>
              <w:rPr>
                <w:rFonts w:hint="eastAsia"/>
                <w:color w:val="auto"/>
              </w:rPr>
              <w:t xml:space="preserve"> </w:t>
            </w:r>
            <w:r>
              <w:rPr>
                <w:color w:val="auto"/>
              </w:rPr>
              <w:t>地下水环境》（HJ610-2016）</w:t>
            </w:r>
            <w:r>
              <w:rPr>
                <w:rFonts w:hint="eastAsia"/>
                <w:color w:val="auto"/>
              </w:rPr>
              <w:t>，本项目地下水环境影响评价等级为三级，在生产运营阶段至少在建设项目场地下游布置1个跟踪监测点；同时，结合《排污许可申请与核发技术规范 水处理》（HJ978-2018），确定本项目运营期的自行监测计划</w:t>
            </w:r>
            <w:r>
              <w:rPr>
                <w:color w:val="auto"/>
              </w:rPr>
              <w:t>详见</w:t>
            </w:r>
            <w:r>
              <w:rPr>
                <w:rFonts w:hint="eastAsia"/>
                <w:color w:val="auto"/>
              </w:rPr>
              <w:t>下表：</w:t>
            </w:r>
          </w:p>
          <w:p>
            <w:pPr>
              <w:pStyle w:val="9"/>
              <w:adjustRightInd w:val="0"/>
              <w:snapToGrid w:val="0"/>
              <w:spacing w:line="360" w:lineRule="auto"/>
              <w:ind w:firstLine="422"/>
              <w:jc w:val="center"/>
              <w:rPr>
                <w:rFonts w:ascii="Times New Roman" w:hAnsi="Times New Roman" w:cs="Times New Roman"/>
                <w:b/>
                <w:bCs/>
                <w:sz w:val="21"/>
                <w:szCs w:val="21"/>
              </w:rPr>
            </w:pPr>
            <w:r>
              <w:rPr>
                <w:rFonts w:ascii="Times New Roman" w:hAnsi="Times New Roman" w:cs="Times New Roman"/>
                <w:b/>
                <w:bCs/>
                <w:sz w:val="21"/>
                <w:szCs w:val="21"/>
              </w:rPr>
              <w:t>表</w:t>
            </w:r>
            <w:r>
              <w:rPr>
                <w:rFonts w:hint="eastAsia" w:ascii="Times New Roman" w:hAnsi="Times New Roman" w:cs="Times New Roman"/>
                <w:b/>
                <w:bCs/>
                <w:sz w:val="21"/>
                <w:szCs w:val="21"/>
              </w:rPr>
              <w:t xml:space="preserve">7-27 </w:t>
            </w:r>
            <w:r>
              <w:rPr>
                <w:rFonts w:ascii="Times New Roman" w:hAnsi="Times New Roman" w:cs="Times New Roman"/>
                <w:b/>
                <w:bCs/>
                <w:sz w:val="21"/>
                <w:szCs w:val="21"/>
              </w:rPr>
              <w:t xml:space="preserve"> 环境监测计划</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830"/>
              <w:gridCol w:w="1290"/>
              <w:gridCol w:w="420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trPr>
              <w:tc>
                <w:tcPr>
                  <w:tcW w:w="797"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监测时间</w:t>
                  </w:r>
                </w:p>
              </w:tc>
              <w:tc>
                <w:tcPr>
                  <w:tcW w:w="830"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监测对象</w:t>
                  </w:r>
                </w:p>
              </w:tc>
              <w:tc>
                <w:tcPr>
                  <w:tcW w:w="1290"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4200"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监测因子</w:t>
                  </w:r>
                </w:p>
              </w:tc>
              <w:tc>
                <w:tcPr>
                  <w:tcW w:w="1189"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restart"/>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sz w:val="21"/>
                      <w:szCs w:val="21"/>
                    </w:rPr>
                    <w:t>营运期</w:t>
                  </w:r>
                </w:p>
              </w:tc>
              <w:tc>
                <w:tcPr>
                  <w:tcW w:w="830" w:type="dxa"/>
                  <w:vMerge w:val="restart"/>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废水</w:t>
                  </w:r>
                </w:p>
              </w:tc>
              <w:tc>
                <w:tcPr>
                  <w:tcW w:w="1290" w:type="dxa"/>
                  <w:vMerge w:val="restart"/>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污水处理厂进口</w:t>
                  </w:r>
                </w:p>
              </w:tc>
              <w:tc>
                <w:tcPr>
                  <w:tcW w:w="420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流量、</w:t>
                  </w:r>
                  <w:r>
                    <w:rPr>
                      <w:rFonts w:hint="eastAsia" w:ascii="Times New Roman" w:hAnsi="Times New Roman"/>
                      <w:sz w:val="21"/>
                      <w:szCs w:val="21"/>
                    </w:rPr>
                    <w:t>COD、</w:t>
                  </w:r>
                  <w:r>
                    <w:rPr>
                      <w:rFonts w:hint="eastAsia" w:ascii="Times New Roman" w:hAnsi="Times New Roman" w:cs="Times New Roman"/>
                      <w:sz w:val="21"/>
                      <w:szCs w:val="21"/>
                    </w:rPr>
                    <w:t>氨氮</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129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420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sz w:val="21"/>
                      <w:szCs w:val="21"/>
                    </w:rPr>
                    <w:t>总磷、总氮</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1290" w:type="dxa"/>
                  <w:vMerge w:val="restart"/>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污水处理厂出口</w:t>
                  </w:r>
                </w:p>
              </w:tc>
              <w:tc>
                <w:tcPr>
                  <w:tcW w:w="4200" w:type="dxa"/>
                  <w:vAlign w:val="center"/>
                </w:tcPr>
                <w:p>
                  <w:pPr>
                    <w:pStyle w:val="9"/>
                    <w:spacing w:line="240" w:lineRule="auto"/>
                    <w:ind w:firstLine="0" w:firstLineChars="0"/>
                    <w:jc w:val="center"/>
                    <w:rPr>
                      <w:rFonts w:ascii="Times New Roman" w:hAnsi="Times New Roman"/>
                      <w:sz w:val="21"/>
                      <w:szCs w:val="21"/>
                    </w:rPr>
                  </w:pPr>
                  <w:r>
                    <w:rPr>
                      <w:rFonts w:hint="eastAsia" w:ascii="Times New Roman" w:hAnsi="Times New Roman"/>
                      <w:sz w:val="21"/>
                      <w:szCs w:val="21"/>
                    </w:rPr>
                    <w:t>流量、pH、水温、COD、氨氮、总磷、总氮</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129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4200" w:type="dxa"/>
                  <w:vAlign w:val="center"/>
                </w:tcPr>
                <w:p>
                  <w:pPr>
                    <w:pStyle w:val="9"/>
                    <w:spacing w:line="240" w:lineRule="auto"/>
                    <w:ind w:firstLine="0" w:firstLineChars="0"/>
                    <w:jc w:val="center"/>
                    <w:rPr>
                      <w:rFonts w:ascii="Times New Roman" w:hAnsi="Times New Roman"/>
                      <w:sz w:val="21"/>
                      <w:szCs w:val="21"/>
                    </w:rPr>
                  </w:pPr>
                  <w:r>
                    <w:rPr>
                      <w:rFonts w:hint="eastAsia" w:ascii="Times New Roman" w:hAnsi="Times New Roman"/>
                      <w:sz w:val="21"/>
                      <w:szCs w:val="21"/>
                    </w:rPr>
                    <w:t>色度、BOD</w:t>
                  </w:r>
                  <w:r>
                    <w:rPr>
                      <w:rFonts w:hint="eastAsia" w:ascii="Times New Roman" w:hAnsi="Times New Roman"/>
                      <w:sz w:val="21"/>
                      <w:szCs w:val="21"/>
                      <w:vertAlign w:val="subscript"/>
                    </w:rPr>
                    <w:t>5</w:t>
                  </w:r>
                  <w:r>
                    <w:rPr>
                      <w:rFonts w:hint="eastAsia" w:ascii="Times New Roman" w:hAnsi="Times New Roman"/>
                      <w:sz w:val="21"/>
                      <w:szCs w:val="21"/>
                    </w:rPr>
                    <w:t>、SS、动植物油、石油类、阴离子表面活性剂、粪大肠菌群</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废气</w:t>
                  </w:r>
                </w:p>
              </w:tc>
              <w:tc>
                <w:tcPr>
                  <w:tcW w:w="129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厂界</w:t>
                  </w:r>
                </w:p>
              </w:tc>
              <w:tc>
                <w:tcPr>
                  <w:tcW w:w="4200" w:type="dxa"/>
                  <w:vAlign w:val="center"/>
                </w:tcPr>
                <w:p>
                  <w:pPr>
                    <w:pStyle w:val="9"/>
                    <w:spacing w:line="240" w:lineRule="auto"/>
                    <w:ind w:firstLine="0" w:firstLineChars="0"/>
                    <w:jc w:val="center"/>
                    <w:rPr>
                      <w:rFonts w:ascii="Times New Roman" w:hAnsi="Times New Roman"/>
                      <w:sz w:val="21"/>
                      <w:szCs w:val="21"/>
                    </w:rPr>
                  </w:pPr>
                  <w:r>
                    <w:rPr>
                      <w:rFonts w:hint="eastAsia" w:ascii="Times New Roman" w:hAnsi="Times New Roman"/>
                      <w:sz w:val="21"/>
                      <w:szCs w:val="21"/>
                    </w:rPr>
                    <w:t>氨、硫化氢、臭气浓度</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半年</w:t>
                  </w:r>
                </w:p>
              </w:tc>
            </w:tr>
          </w:tbl>
          <w:p>
            <w:pPr>
              <w:spacing w:line="500" w:lineRule="exact"/>
              <w:ind w:firstLine="593" w:firstLineChars="246"/>
              <w:rPr>
                <w:b/>
                <w:szCs w:val="24"/>
              </w:rPr>
            </w:pPr>
            <w:r>
              <w:rPr>
                <w:rFonts w:hint="eastAsia"/>
                <w:b/>
                <w:szCs w:val="24"/>
              </w:rPr>
              <w:t>（八）</w:t>
            </w:r>
            <w:r>
              <w:rPr>
                <w:b/>
                <w:bCs/>
                <w:szCs w:val="24"/>
              </w:rPr>
              <w:t>“三同时”环保竣工验收</w:t>
            </w:r>
          </w:p>
          <w:p>
            <w:pPr>
              <w:pStyle w:val="87"/>
              <w:adjustRightInd/>
              <w:spacing w:beforeLines="0" w:afterLines="0" w:line="360" w:lineRule="auto"/>
              <w:ind w:firstLine="512"/>
              <w:jc w:val="both"/>
              <w:rPr>
                <w:color w:val="auto"/>
              </w:rPr>
            </w:pPr>
            <w:r>
              <w:rPr>
                <w:rFonts w:hint="eastAsia"/>
                <w:color w:val="auto"/>
              </w:rPr>
              <w:t>“三同时”竣工验收是国家对建设项目进行环境管理的重要内容，通过“三同时”竣工验收，检验项目建设单位是否严格执行国家的环境保护政策、法律、法规以及环境主管部门批复的环境影响评价报告中各项污染设施的执行情况。本项目竣工验收一览表见下表：</w:t>
            </w:r>
          </w:p>
          <w:p>
            <w:pPr>
              <w:pStyle w:val="74"/>
              <w:snapToGrid w:val="0"/>
              <w:ind w:firstLine="1870" w:firstLineChars="887"/>
              <w:textAlignment w:val="auto"/>
              <w:rPr>
                <w:rFonts w:ascii="Times New Roman"/>
                <w:sz w:val="24"/>
                <w:szCs w:val="24"/>
              </w:rPr>
            </w:pPr>
            <w:r>
              <w:rPr>
                <w:rFonts w:ascii="Times New Roman"/>
                <w:b/>
                <w:bCs/>
                <w:kern w:val="2"/>
                <w:sz w:val="21"/>
                <w:szCs w:val="16"/>
              </w:rPr>
              <w:t>表</w:t>
            </w:r>
            <w:r>
              <w:rPr>
                <w:rFonts w:hint="eastAsia" w:ascii="Times New Roman"/>
                <w:b/>
                <w:bCs/>
                <w:kern w:val="2"/>
                <w:sz w:val="21"/>
                <w:szCs w:val="16"/>
              </w:rPr>
              <w:t xml:space="preserve">7-28 </w:t>
            </w:r>
            <w:r>
              <w:rPr>
                <w:rFonts w:ascii="Times New Roman"/>
                <w:b/>
                <w:bCs/>
                <w:kern w:val="2"/>
                <w:sz w:val="21"/>
                <w:szCs w:val="16"/>
              </w:rPr>
              <w:t xml:space="preserve"> 拟建项目</w:t>
            </w:r>
            <w:r>
              <w:rPr>
                <w:rFonts w:ascii="Times New Roman"/>
                <w:b/>
                <w:bCs/>
                <w:iCs/>
                <w:sz w:val="21"/>
                <w:szCs w:val="16"/>
              </w:rPr>
              <w:t>环境保护“三同时”验收一览表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663"/>
              <w:gridCol w:w="948"/>
              <w:gridCol w:w="1190"/>
              <w:gridCol w:w="2920"/>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rPr>
                      <w:b/>
                      <w:bCs/>
                      <w:sz w:val="21"/>
                      <w:szCs w:val="21"/>
                    </w:rPr>
                  </w:pPr>
                  <w:r>
                    <w:rPr>
                      <w:b/>
                      <w:bCs/>
                      <w:sz w:val="21"/>
                      <w:szCs w:val="21"/>
                    </w:rPr>
                    <w:t>类型</w:t>
                  </w:r>
                </w:p>
              </w:tc>
              <w:tc>
                <w:tcPr>
                  <w:tcW w:w="663" w:type="dxa"/>
                  <w:vAlign w:val="center"/>
                </w:tcPr>
                <w:p>
                  <w:pPr>
                    <w:rPr>
                      <w:b/>
                      <w:bCs/>
                      <w:sz w:val="21"/>
                      <w:szCs w:val="21"/>
                    </w:rPr>
                  </w:pPr>
                  <w:r>
                    <w:rPr>
                      <w:b/>
                      <w:bCs/>
                      <w:sz w:val="21"/>
                      <w:szCs w:val="21"/>
                    </w:rPr>
                    <w:t>类别</w:t>
                  </w:r>
                </w:p>
              </w:tc>
              <w:tc>
                <w:tcPr>
                  <w:tcW w:w="948" w:type="dxa"/>
                  <w:vAlign w:val="center"/>
                </w:tcPr>
                <w:p>
                  <w:pPr>
                    <w:rPr>
                      <w:b/>
                      <w:bCs/>
                      <w:sz w:val="21"/>
                      <w:szCs w:val="21"/>
                    </w:rPr>
                  </w:pPr>
                  <w:r>
                    <w:rPr>
                      <w:b/>
                      <w:bCs/>
                      <w:sz w:val="21"/>
                      <w:szCs w:val="21"/>
                    </w:rPr>
                    <w:t>污染源</w:t>
                  </w:r>
                </w:p>
              </w:tc>
              <w:tc>
                <w:tcPr>
                  <w:tcW w:w="1190" w:type="dxa"/>
                  <w:vAlign w:val="center"/>
                </w:tcPr>
                <w:p>
                  <w:pPr>
                    <w:jc w:val="center"/>
                    <w:rPr>
                      <w:b/>
                      <w:bCs/>
                      <w:sz w:val="21"/>
                      <w:szCs w:val="21"/>
                    </w:rPr>
                  </w:pPr>
                  <w:r>
                    <w:rPr>
                      <w:b/>
                      <w:bCs/>
                      <w:sz w:val="21"/>
                      <w:szCs w:val="21"/>
                    </w:rPr>
                    <w:t>污染物</w:t>
                  </w:r>
                </w:p>
              </w:tc>
              <w:tc>
                <w:tcPr>
                  <w:tcW w:w="2920" w:type="dxa"/>
                  <w:vAlign w:val="center"/>
                </w:tcPr>
                <w:p>
                  <w:pPr>
                    <w:rPr>
                      <w:b/>
                      <w:bCs/>
                      <w:sz w:val="21"/>
                      <w:szCs w:val="21"/>
                    </w:rPr>
                  </w:pPr>
                  <w:r>
                    <w:rPr>
                      <w:b/>
                      <w:bCs/>
                      <w:sz w:val="21"/>
                      <w:szCs w:val="21"/>
                    </w:rPr>
                    <w:t>建设内容</w:t>
                  </w:r>
                </w:p>
              </w:tc>
              <w:tc>
                <w:tcPr>
                  <w:tcW w:w="2187" w:type="dxa"/>
                  <w:vAlign w:val="center"/>
                </w:tcPr>
                <w:p>
                  <w:pPr>
                    <w:rPr>
                      <w:b/>
                      <w:bCs/>
                      <w:sz w:val="21"/>
                      <w:szCs w:val="21"/>
                    </w:rPr>
                  </w:pPr>
                  <w:r>
                    <w:rPr>
                      <w:b/>
                      <w:bCs/>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jc w:val="center"/>
                    <w:rPr>
                      <w:sz w:val="21"/>
                      <w:szCs w:val="21"/>
                    </w:rPr>
                  </w:pPr>
                  <w:r>
                    <w:rPr>
                      <w:sz w:val="21"/>
                      <w:szCs w:val="21"/>
                    </w:rPr>
                    <w:t>大气</w:t>
                  </w:r>
                </w:p>
              </w:tc>
              <w:tc>
                <w:tcPr>
                  <w:tcW w:w="663" w:type="dxa"/>
                  <w:vAlign w:val="center"/>
                </w:tcPr>
                <w:p>
                  <w:pPr>
                    <w:jc w:val="center"/>
                    <w:rPr>
                      <w:sz w:val="21"/>
                      <w:szCs w:val="21"/>
                    </w:rPr>
                  </w:pPr>
                  <w:r>
                    <w:rPr>
                      <w:sz w:val="21"/>
                      <w:szCs w:val="21"/>
                    </w:rPr>
                    <w:t>恶臭</w:t>
                  </w:r>
                </w:p>
              </w:tc>
              <w:tc>
                <w:tcPr>
                  <w:tcW w:w="948" w:type="dxa"/>
                  <w:vAlign w:val="center"/>
                </w:tcPr>
                <w:p>
                  <w:pPr>
                    <w:jc w:val="left"/>
                    <w:rPr>
                      <w:sz w:val="21"/>
                      <w:szCs w:val="21"/>
                    </w:rPr>
                  </w:pPr>
                  <w:r>
                    <w:rPr>
                      <w:rFonts w:hint="eastAsia"/>
                      <w:sz w:val="21"/>
                      <w:szCs w:val="21"/>
                    </w:rPr>
                    <w:t>污水处理单元</w:t>
                  </w:r>
                </w:p>
              </w:tc>
              <w:tc>
                <w:tcPr>
                  <w:tcW w:w="1190" w:type="dxa"/>
                  <w:vAlign w:val="center"/>
                </w:tcPr>
                <w:p>
                  <w:pPr>
                    <w:jc w:val="center"/>
                    <w:rPr>
                      <w:sz w:val="21"/>
                      <w:szCs w:val="21"/>
                    </w:rPr>
                  </w:pPr>
                  <w:r>
                    <w:rPr>
                      <w:sz w:val="21"/>
                      <w:szCs w:val="21"/>
                    </w:rPr>
                    <w:t>H</w:t>
                  </w:r>
                  <w:r>
                    <w:rPr>
                      <w:sz w:val="21"/>
                      <w:szCs w:val="21"/>
                      <w:vertAlign w:val="subscript"/>
                    </w:rPr>
                    <w:t>2</w:t>
                  </w:r>
                  <w:r>
                    <w:rPr>
                      <w:sz w:val="21"/>
                      <w:szCs w:val="21"/>
                    </w:rPr>
                    <w:t>S、NH</w:t>
                  </w:r>
                  <w:r>
                    <w:rPr>
                      <w:sz w:val="21"/>
                      <w:szCs w:val="21"/>
                      <w:vertAlign w:val="subscript"/>
                    </w:rPr>
                    <w:t>3</w:t>
                  </w:r>
                  <w:r>
                    <w:rPr>
                      <w:sz w:val="21"/>
                      <w:szCs w:val="21"/>
                    </w:rPr>
                    <w:t>、臭气浓度</w:t>
                  </w:r>
                </w:p>
              </w:tc>
              <w:tc>
                <w:tcPr>
                  <w:tcW w:w="2920" w:type="dxa"/>
                  <w:vAlign w:val="center"/>
                </w:tcPr>
                <w:p>
                  <w:pPr>
                    <w:rPr>
                      <w:sz w:val="21"/>
                      <w:szCs w:val="21"/>
                    </w:rPr>
                  </w:pPr>
                  <w:r>
                    <w:rPr>
                      <w:rFonts w:hint="eastAsia"/>
                      <w:sz w:val="21"/>
                      <w:szCs w:val="21"/>
                    </w:rPr>
                    <w:t>半封闭式构筑物</w:t>
                  </w:r>
                </w:p>
              </w:tc>
              <w:tc>
                <w:tcPr>
                  <w:tcW w:w="2187" w:type="dxa"/>
                  <w:vAlign w:val="center"/>
                </w:tcPr>
                <w:p>
                  <w:pPr>
                    <w:jc w:val="left"/>
                    <w:rPr>
                      <w:sz w:val="21"/>
                      <w:szCs w:val="21"/>
                    </w:rPr>
                  </w:pPr>
                  <w:r>
                    <w:rPr>
                      <w:sz w:val="21"/>
                      <w:szCs w:val="21"/>
                    </w:rPr>
                    <w:t>满足《城镇污水处理厂污染物排放标准》中二级标准中的要求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jc w:val="center"/>
                    <w:rPr>
                      <w:sz w:val="21"/>
                      <w:szCs w:val="21"/>
                    </w:rPr>
                  </w:pPr>
                  <w:r>
                    <w:rPr>
                      <w:sz w:val="21"/>
                      <w:szCs w:val="21"/>
                    </w:rPr>
                    <w:t>噪声</w:t>
                  </w:r>
                </w:p>
              </w:tc>
              <w:tc>
                <w:tcPr>
                  <w:tcW w:w="663" w:type="dxa"/>
                  <w:vAlign w:val="center"/>
                </w:tcPr>
                <w:p>
                  <w:pPr>
                    <w:jc w:val="center"/>
                    <w:rPr>
                      <w:sz w:val="21"/>
                      <w:szCs w:val="21"/>
                    </w:rPr>
                  </w:pPr>
                  <w:r>
                    <w:rPr>
                      <w:sz w:val="21"/>
                      <w:szCs w:val="21"/>
                    </w:rPr>
                    <w:t>噪声</w:t>
                  </w:r>
                </w:p>
              </w:tc>
              <w:tc>
                <w:tcPr>
                  <w:tcW w:w="948" w:type="dxa"/>
                  <w:vAlign w:val="center"/>
                </w:tcPr>
                <w:p>
                  <w:pPr>
                    <w:jc w:val="left"/>
                    <w:rPr>
                      <w:sz w:val="21"/>
                      <w:szCs w:val="21"/>
                    </w:rPr>
                  </w:pPr>
                  <w:r>
                    <w:rPr>
                      <w:rFonts w:hint="eastAsia"/>
                      <w:sz w:val="21"/>
                      <w:szCs w:val="21"/>
                    </w:rPr>
                    <w:t>污水处理设备</w:t>
                  </w:r>
                </w:p>
              </w:tc>
              <w:tc>
                <w:tcPr>
                  <w:tcW w:w="1190" w:type="dxa"/>
                  <w:vAlign w:val="center"/>
                </w:tcPr>
                <w:p>
                  <w:pPr>
                    <w:jc w:val="center"/>
                    <w:rPr>
                      <w:sz w:val="21"/>
                      <w:szCs w:val="21"/>
                    </w:rPr>
                  </w:pPr>
                  <w:r>
                    <w:rPr>
                      <w:sz w:val="21"/>
                      <w:szCs w:val="21"/>
                    </w:rPr>
                    <w:t>噪声</w:t>
                  </w:r>
                </w:p>
              </w:tc>
              <w:tc>
                <w:tcPr>
                  <w:tcW w:w="2920" w:type="dxa"/>
                  <w:vAlign w:val="center"/>
                </w:tcPr>
                <w:p>
                  <w:pPr>
                    <w:rPr>
                      <w:sz w:val="21"/>
                      <w:szCs w:val="21"/>
                    </w:rPr>
                  </w:pPr>
                  <w:r>
                    <w:rPr>
                      <w:rFonts w:hint="eastAsia"/>
                      <w:sz w:val="21"/>
                      <w:szCs w:val="21"/>
                    </w:rPr>
                    <w:t>邓川、右所污水厂采取基础减震、构筑物</w:t>
                  </w:r>
                  <w:r>
                    <w:rPr>
                      <w:sz w:val="21"/>
                      <w:szCs w:val="21"/>
                    </w:rPr>
                    <w:t>隔声</w:t>
                  </w:r>
                  <w:r>
                    <w:rPr>
                      <w:rFonts w:hint="eastAsia"/>
                      <w:sz w:val="21"/>
                      <w:szCs w:val="21"/>
                    </w:rPr>
                    <w:t>；牛街污水厂采取基础减震+隔声系统</w:t>
                  </w:r>
                </w:p>
              </w:tc>
              <w:tc>
                <w:tcPr>
                  <w:tcW w:w="2187" w:type="dxa"/>
                  <w:vAlign w:val="center"/>
                </w:tcPr>
                <w:p>
                  <w:pPr>
                    <w:rPr>
                      <w:sz w:val="21"/>
                      <w:szCs w:val="21"/>
                    </w:rPr>
                  </w:pPr>
                  <w:r>
                    <w:rPr>
                      <w:sz w:val="21"/>
                      <w:szCs w:val="21"/>
                    </w:rPr>
                    <w:t>达到《工业企业厂界环境噪声排放标准》（GB 18483-2008）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Merge w:val="restart"/>
                  <w:vAlign w:val="center"/>
                </w:tcPr>
                <w:p>
                  <w:pPr>
                    <w:jc w:val="center"/>
                    <w:rPr>
                      <w:sz w:val="21"/>
                      <w:szCs w:val="21"/>
                    </w:rPr>
                  </w:pPr>
                  <w:r>
                    <w:rPr>
                      <w:sz w:val="21"/>
                      <w:szCs w:val="21"/>
                    </w:rPr>
                    <w:t>固废</w:t>
                  </w:r>
                </w:p>
              </w:tc>
              <w:tc>
                <w:tcPr>
                  <w:tcW w:w="663" w:type="dxa"/>
                  <w:vMerge w:val="restart"/>
                  <w:vAlign w:val="center"/>
                </w:tcPr>
                <w:p>
                  <w:pPr>
                    <w:jc w:val="center"/>
                    <w:rPr>
                      <w:sz w:val="21"/>
                      <w:szCs w:val="21"/>
                    </w:rPr>
                  </w:pPr>
                  <w:r>
                    <w:rPr>
                      <w:rFonts w:hint="eastAsia"/>
                      <w:sz w:val="21"/>
                      <w:szCs w:val="21"/>
                    </w:rPr>
                    <w:t>一般固废</w:t>
                  </w:r>
                </w:p>
              </w:tc>
              <w:tc>
                <w:tcPr>
                  <w:tcW w:w="948" w:type="dxa"/>
                  <w:vMerge w:val="restart"/>
                  <w:vAlign w:val="center"/>
                </w:tcPr>
                <w:p>
                  <w:pPr>
                    <w:jc w:val="left"/>
                    <w:rPr>
                      <w:sz w:val="21"/>
                      <w:szCs w:val="21"/>
                    </w:rPr>
                  </w:pPr>
                  <w:r>
                    <w:rPr>
                      <w:rFonts w:hint="eastAsia"/>
                      <w:sz w:val="21"/>
                      <w:szCs w:val="21"/>
                    </w:rPr>
                    <w:t>污水处理厂</w:t>
                  </w:r>
                </w:p>
              </w:tc>
              <w:tc>
                <w:tcPr>
                  <w:tcW w:w="1190" w:type="dxa"/>
                  <w:vAlign w:val="center"/>
                </w:tcPr>
                <w:p>
                  <w:pPr>
                    <w:jc w:val="center"/>
                    <w:rPr>
                      <w:sz w:val="21"/>
                      <w:szCs w:val="21"/>
                    </w:rPr>
                  </w:pPr>
                  <w:r>
                    <w:rPr>
                      <w:rFonts w:hint="eastAsia"/>
                      <w:sz w:val="21"/>
                      <w:szCs w:val="21"/>
                    </w:rPr>
                    <w:t>污泥</w:t>
                  </w:r>
                </w:p>
              </w:tc>
              <w:tc>
                <w:tcPr>
                  <w:tcW w:w="2920" w:type="dxa"/>
                  <w:vAlign w:val="center"/>
                </w:tcPr>
                <w:p>
                  <w:pPr>
                    <w:rPr>
                      <w:sz w:val="21"/>
                      <w:szCs w:val="21"/>
                    </w:rPr>
                  </w:pPr>
                  <w:r>
                    <w:rPr>
                      <w:rFonts w:hint="eastAsia"/>
                      <w:sz w:val="21"/>
                      <w:szCs w:val="21"/>
                    </w:rPr>
                    <w:t>脱水后委托环卫部门清运至洱源县垃圾填埋场处置</w:t>
                  </w:r>
                </w:p>
              </w:tc>
              <w:tc>
                <w:tcPr>
                  <w:tcW w:w="2187" w:type="dxa"/>
                  <w:vMerge w:val="restart"/>
                  <w:vAlign w:val="center"/>
                </w:tcPr>
                <w:p>
                  <w:pPr>
                    <w:jc w:val="center"/>
                    <w:rPr>
                      <w:sz w:val="21"/>
                      <w:szCs w:val="21"/>
                    </w:rPr>
                  </w:pPr>
                  <w:r>
                    <w:rPr>
                      <w:rFonts w:hint="eastAsia"/>
                      <w:sz w:val="21"/>
                      <w:szCs w:val="21"/>
                    </w:rPr>
                    <w:t>固体废物合理处置，处置率100%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686" w:type="dxa"/>
                  <w:vMerge w:val="continue"/>
                  <w:vAlign w:val="center"/>
                </w:tcPr>
                <w:p>
                  <w:pPr>
                    <w:jc w:val="center"/>
                    <w:rPr>
                      <w:sz w:val="21"/>
                      <w:szCs w:val="21"/>
                    </w:rPr>
                  </w:pPr>
                </w:p>
              </w:tc>
              <w:tc>
                <w:tcPr>
                  <w:tcW w:w="663" w:type="dxa"/>
                  <w:vMerge w:val="continue"/>
                  <w:vAlign w:val="center"/>
                </w:tcPr>
                <w:p>
                  <w:pPr>
                    <w:jc w:val="center"/>
                    <w:rPr>
                      <w:sz w:val="21"/>
                      <w:szCs w:val="21"/>
                    </w:rPr>
                  </w:pPr>
                </w:p>
              </w:tc>
              <w:tc>
                <w:tcPr>
                  <w:tcW w:w="948" w:type="dxa"/>
                  <w:vMerge w:val="continue"/>
                  <w:vAlign w:val="center"/>
                </w:tcPr>
                <w:p>
                  <w:pPr>
                    <w:jc w:val="left"/>
                    <w:rPr>
                      <w:sz w:val="21"/>
                      <w:szCs w:val="21"/>
                    </w:rPr>
                  </w:pPr>
                </w:p>
              </w:tc>
              <w:tc>
                <w:tcPr>
                  <w:tcW w:w="1190" w:type="dxa"/>
                  <w:vAlign w:val="center"/>
                </w:tcPr>
                <w:p>
                  <w:pPr>
                    <w:jc w:val="center"/>
                    <w:rPr>
                      <w:sz w:val="21"/>
                      <w:szCs w:val="21"/>
                    </w:rPr>
                  </w:pPr>
                  <w:r>
                    <w:rPr>
                      <w:rFonts w:hint="eastAsia"/>
                      <w:sz w:val="21"/>
                      <w:szCs w:val="21"/>
                    </w:rPr>
                    <w:t>格栅渣</w:t>
                  </w:r>
                </w:p>
              </w:tc>
              <w:tc>
                <w:tcPr>
                  <w:tcW w:w="2920" w:type="dxa"/>
                  <w:vMerge w:val="restart"/>
                  <w:vAlign w:val="center"/>
                </w:tcPr>
                <w:p>
                  <w:pPr>
                    <w:rPr>
                      <w:sz w:val="21"/>
                      <w:szCs w:val="21"/>
                    </w:rPr>
                  </w:pPr>
                  <w:r>
                    <w:rPr>
                      <w:rFonts w:hint="eastAsia"/>
                      <w:sz w:val="21"/>
                      <w:szCs w:val="21"/>
                    </w:rPr>
                    <w:t>清运至环卫部门指定地点，委托环卫部门处置</w:t>
                  </w:r>
                </w:p>
              </w:tc>
              <w:tc>
                <w:tcPr>
                  <w:tcW w:w="2187"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jc w:val="center"/>
                    <w:rPr>
                      <w:sz w:val="21"/>
                      <w:szCs w:val="21"/>
                    </w:rPr>
                  </w:pPr>
                </w:p>
              </w:tc>
              <w:tc>
                <w:tcPr>
                  <w:tcW w:w="663" w:type="dxa"/>
                  <w:vMerge w:val="continue"/>
                  <w:vAlign w:val="center"/>
                </w:tcPr>
                <w:p>
                  <w:pPr>
                    <w:jc w:val="center"/>
                    <w:rPr>
                      <w:sz w:val="21"/>
                      <w:szCs w:val="21"/>
                    </w:rPr>
                  </w:pPr>
                </w:p>
              </w:tc>
              <w:tc>
                <w:tcPr>
                  <w:tcW w:w="948" w:type="dxa"/>
                  <w:vMerge w:val="continue"/>
                  <w:vAlign w:val="center"/>
                </w:tcPr>
                <w:p>
                  <w:pPr>
                    <w:jc w:val="left"/>
                    <w:rPr>
                      <w:sz w:val="21"/>
                      <w:szCs w:val="21"/>
                    </w:rPr>
                  </w:pPr>
                </w:p>
              </w:tc>
              <w:tc>
                <w:tcPr>
                  <w:tcW w:w="1190" w:type="dxa"/>
                  <w:vAlign w:val="center"/>
                </w:tcPr>
                <w:p>
                  <w:pPr>
                    <w:jc w:val="center"/>
                    <w:rPr>
                      <w:sz w:val="21"/>
                      <w:szCs w:val="21"/>
                    </w:rPr>
                  </w:pPr>
                  <w:r>
                    <w:rPr>
                      <w:rFonts w:hint="eastAsia"/>
                      <w:sz w:val="21"/>
                      <w:szCs w:val="21"/>
                    </w:rPr>
                    <w:t>生活垃圾</w:t>
                  </w:r>
                </w:p>
              </w:tc>
              <w:tc>
                <w:tcPr>
                  <w:tcW w:w="2920" w:type="dxa"/>
                  <w:vMerge w:val="continue"/>
                  <w:vAlign w:val="center"/>
                </w:tcPr>
                <w:p>
                  <w:pPr>
                    <w:rPr>
                      <w:sz w:val="21"/>
                      <w:szCs w:val="21"/>
                    </w:rPr>
                  </w:pPr>
                </w:p>
              </w:tc>
              <w:tc>
                <w:tcPr>
                  <w:tcW w:w="2187"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jc w:val="center"/>
                    <w:rPr>
                      <w:sz w:val="21"/>
                      <w:szCs w:val="21"/>
                    </w:rPr>
                  </w:pPr>
                </w:p>
              </w:tc>
              <w:tc>
                <w:tcPr>
                  <w:tcW w:w="663" w:type="dxa"/>
                  <w:vMerge w:val="restart"/>
                  <w:vAlign w:val="center"/>
                </w:tcPr>
                <w:p>
                  <w:pPr>
                    <w:jc w:val="center"/>
                    <w:rPr>
                      <w:sz w:val="21"/>
                      <w:szCs w:val="21"/>
                    </w:rPr>
                  </w:pPr>
                  <w:r>
                    <w:rPr>
                      <w:rFonts w:hint="eastAsia"/>
                      <w:sz w:val="21"/>
                      <w:szCs w:val="21"/>
                    </w:rPr>
                    <w:t>危险废物</w:t>
                  </w:r>
                </w:p>
              </w:tc>
              <w:tc>
                <w:tcPr>
                  <w:tcW w:w="948" w:type="dxa"/>
                  <w:vMerge w:val="continue"/>
                  <w:vAlign w:val="center"/>
                </w:tcPr>
                <w:p>
                  <w:pPr>
                    <w:jc w:val="left"/>
                    <w:rPr>
                      <w:sz w:val="21"/>
                      <w:szCs w:val="21"/>
                    </w:rPr>
                  </w:pPr>
                </w:p>
              </w:tc>
              <w:tc>
                <w:tcPr>
                  <w:tcW w:w="1190" w:type="dxa"/>
                  <w:vAlign w:val="center"/>
                </w:tcPr>
                <w:p>
                  <w:pPr>
                    <w:jc w:val="center"/>
                    <w:rPr>
                      <w:sz w:val="21"/>
                      <w:szCs w:val="21"/>
                    </w:rPr>
                  </w:pPr>
                  <w:r>
                    <w:rPr>
                      <w:rFonts w:hint="eastAsia"/>
                      <w:sz w:val="21"/>
                      <w:szCs w:val="21"/>
                    </w:rPr>
                    <w:t>废机油</w:t>
                  </w:r>
                </w:p>
              </w:tc>
              <w:tc>
                <w:tcPr>
                  <w:tcW w:w="2920" w:type="dxa"/>
                  <w:vAlign w:val="center"/>
                </w:tcPr>
                <w:p>
                  <w:pPr>
                    <w:rPr>
                      <w:sz w:val="21"/>
                      <w:szCs w:val="21"/>
                    </w:rPr>
                  </w:pPr>
                  <w:r>
                    <w:rPr>
                      <w:rFonts w:hint="eastAsia"/>
                      <w:sz w:val="21"/>
                      <w:szCs w:val="21"/>
                    </w:rPr>
                    <w:t>委托有危险废物处置资质的单位进行处置。</w:t>
                  </w:r>
                </w:p>
              </w:tc>
              <w:tc>
                <w:tcPr>
                  <w:tcW w:w="2187"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jc w:val="center"/>
                    <w:rPr>
                      <w:sz w:val="21"/>
                      <w:szCs w:val="21"/>
                    </w:rPr>
                  </w:pPr>
                </w:p>
              </w:tc>
              <w:tc>
                <w:tcPr>
                  <w:tcW w:w="663" w:type="dxa"/>
                  <w:vMerge w:val="continue"/>
                  <w:vAlign w:val="center"/>
                </w:tcPr>
                <w:p>
                  <w:pPr>
                    <w:jc w:val="center"/>
                    <w:rPr>
                      <w:sz w:val="21"/>
                      <w:szCs w:val="21"/>
                    </w:rPr>
                  </w:pPr>
                </w:p>
              </w:tc>
              <w:tc>
                <w:tcPr>
                  <w:tcW w:w="948" w:type="dxa"/>
                  <w:vMerge w:val="continue"/>
                  <w:vAlign w:val="center"/>
                </w:tcPr>
                <w:p>
                  <w:pPr>
                    <w:jc w:val="left"/>
                    <w:rPr>
                      <w:sz w:val="21"/>
                      <w:szCs w:val="21"/>
                    </w:rPr>
                  </w:pPr>
                </w:p>
              </w:tc>
              <w:tc>
                <w:tcPr>
                  <w:tcW w:w="1190" w:type="dxa"/>
                  <w:vAlign w:val="center"/>
                </w:tcPr>
                <w:p>
                  <w:pPr>
                    <w:jc w:val="center"/>
                    <w:rPr>
                      <w:color w:val="FF0000"/>
                      <w:sz w:val="21"/>
                      <w:szCs w:val="21"/>
                    </w:rPr>
                  </w:pPr>
                  <w:r>
                    <w:rPr>
                      <w:rFonts w:hint="eastAsia"/>
                      <w:color w:val="FF0000"/>
                      <w:sz w:val="21"/>
                      <w:szCs w:val="21"/>
                    </w:rPr>
                    <w:t>在线监测废液</w:t>
                  </w:r>
                </w:p>
              </w:tc>
              <w:tc>
                <w:tcPr>
                  <w:tcW w:w="2920" w:type="dxa"/>
                  <w:vAlign w:val="center"/>
                </w:tcPr>
                <w:p>
                  <w:pPr>
                    <w:rPr>
                      <w:color w:val="FF0000"/>
                      <w:sz w:val="21"/>
                      <w:szCs w:val="21"/>
                    </w:rPr>
                  </w:pPr>
                  <w:r>
                    <w:rPr>
                      <w:rFonts w:hint="eastAsia"/>
                      <w:color w:val="FF0000"/>
                      <w:sz w:val="21"/>
                      <w:szCs w:val="21"/>
                    </w:rPr>
                    <w:t>委托第三方定期更换后自行带走，并交由有资质的机构处置 。</w:t>
                  </w:r>
                </w:p>
              </w:tc>
              <w:tc>
                <w:tcPr>
                  <w:tcW w:w="2187"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gridSpan w:val="2"/>
                  <w:vAlign w:val="center"/>
                </w:tcPr>
                <w:p>
                  <w:pPr>
                    <w:jc w:val="center"/>
                    <w:rPr>
                      <w:sz w:val="21"/>
                      <w:szCs w:val="21"/>
                    </w:rPr>
                  </w:pPr>
                  <w:r>
                    <w:rPr>
                      <w:rFonts w:hint="eastAsia"/>
                      <w:sz w:val="21"/>
                      <w:szCs w:val="21"/>
                    </w:rPr>
                    <w:t>地下水及</w:t>
                  </w:r>
                </w:p>
                <w:p>
                  <w:pPr>
                    <w:jc w:val="center"/>
                    <w:rPr>
                      <w:sz w:val="21"/>
                      <w:szCs w:val="21"/>
                    </w:rPr>
                  </w:pPr>
                  <w:r>
                    <w:rPr>
                      <w:rFonts w:hint="eastAsia"/>
                      <w:sz w:val="21"/>
                      <w:szCs w:val="21"/>
                    </w:rPr>
                    <w:t>土壤</w:t>
                  </w:r>
                </w:p>
              </w:tc>
              <w:tc>
                <w:tcPr>
                  <w:tcW w:w="948" w:type="dxa"/>
                  <w:vAlign w:val="center"/>
                </w:tcPr>
                <w:p>
                  <w:pPr>
                    <w:jc w:val="left"/>
                    <w:rPr>
                      <w:sz w:val="21"/>
                      <w:szCs w:val="21"/>
                    </w:rPr>
                  </w:pPr>
                  <w:r>
                    <w:rPr>
                      <w:rFonts w:hint="eastAsia"/>
                      <w:sz w:val="21"/>
                      <w:szCs w:val="21"/>
                    </w:rPr>
                    <w:t>污水处理单元</w:t>
                  </w:r>
                </w:p>
              </w:tc>
              <w:tc>
                <w:tcPr>
                  <w:tcW w:w="1190" w:type="dxa"/>
                  <w:vAlign w:val="center"/>
                </w:tcPr>
                <w:p>
                  <w:pPr>
                    <w:jc w:val="center"/>
                    <w:rPr>
                      <w:sz w:val="21"/>
                      <w:szCs w:val="21"/>
                    </w:rPr>
                  </w:pPr>
                  <w:r>
                    <w:rPr>
                      <w:rFonts w:hint="eastAsia"/>
                      <w:sz w:val="21"/>
                      <w:szCs w:val="21"/>
                    </w:rPr>
                    <w:t>COD、氨氮、总氮、总磷</w:t>
                  </w:r>
                </w:p>
              </w:tc>
              <w:tc>
                <w:tcPr>
                  <w:tcW w:w="2920" w:type="dxa"/>
                  <w:vAlign w:val="center"/>
                </w:tcPr>
                <w:p>
                  <w:pPr>
                    <w:rPr>
                      <w:sz w:val="21"/>
                      <w:szCs w:val="21"/>
                    </w:rPr>
                  </w:pPr>
                  <w:r>
                    <w:rPr>
                      <w:rFonts w:hint="eastAsia"/>
                      <w:sz w:val="21"/>
                      <w:szCs w:val="21"/>
                    </w:rPr>
                    <w:t>严格按照工程防渗设计要求施工，并加强日常管理及维护，同时在下游设置监测井</w:t>
                  </w:r>
                </w:p>
              </w:tc>
              <w:tc>
                <w:tcPr>
                  <w:tcW w:w="2187" w:type="dxa"/>
                  <w:vAlign w:val="center"/>
                </w:tcPr>
                <w:p>
                  <w:pPr>
                    <w:rPr>
                      <w:sz w:val="21"/>
                      <w:szCs w:val="21"/>
                    </w:rPr>
                  </w:pPr>
                  <w:r>
                    <w:rPr>
                      <w:rFonts w:hint="eastAsia"/>
                      <w:sz w:val="21"/>
                      <w:szCs w:val="21"/>
                    </w:rPr>
                    <w:t>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gridSpan w:val="2"/>
                  <w:vAlign w:val="center"/>
                </w:tcPr>
                <w:p>
                  <w:pPr>
                    <w:jc w:val="center"/>
                    <w:rPr>
                      <w:sz w:val="21"/>
                      <w:szCs w:val="21"/>
                    </w:rPr>
                  </w:pPr>
                  <w:r>
                    <w:rPr>
                      <w:rFonts w:hint="eastAsia"/>
                      <w:sz w:val="21"/>
                      <w:szCs w:val="21"/>
                    </w:rPr>
                    <w:t>环境风险</w:t>
                  </w:r>
                </w:p>
              </w:tc>
              <w:tc>
                <w:tcPr>
                  <w:tcW w:w="948" w:type="dxa"/>
                  <w:vAlign w:val="center"/>
                </w:tcPr>
                <w:p>
                  <w:pPr>
                    <w:jc w:val="left"/>
                    <w:rPr>
                      <w:sz w:val="21"/>
                      <w:szCs w:val="21"/>
                    </w:rPr>
                  </w:pPr>
                  <w:r>
                    <w:rPr>
                      <w:rFonts w:hint="eastAsia"/>
                      <w:sz w:val="21"/>
                      <w:szCs w:val="21"/>
                    </w:rPr>
                    <w:t>危废暂存间、药品间</w:t>
                  </w:r>
                </w:p>
              </w:tc>
              <w:tc>
                <w:tcPr>
                  <w:tcW w:w="1190" w:type="dxa"/>
                  <w:vAlign w:val="center"/>
                </w:tcPr>
                <w:p>
                  <w:pPr>
                    <w:jc w:val="center"/>
                    <w:rPr>
                      <w:sz w:val="21"/>
                      <w:szCs w:val="21"/>
                    </w:rPr>
                  </w:pPr>
                  <w:r>
                    <w:rPr>
                      <w:rFonts w:hint="eastAsia"/>
                      <w:sz w:val="21"/>
                      <w:szCs w:val="21"/>
                    </w:rPr>
                    <w:t>废机油、次氯酸钠</w:t>
                  </w:r>
                </w:p>
              </w:tc>
              <w:tc>
                <w:tcPr>
                  <w:tcW w:w="2920" w:type="dxa"/>
                  <w:vAlign w:val="center"/>
                </w:tcPr>
                <w:p>
                  <w:pPr>
                    <w:rPr>
                      <w:sz w:val="21"/>
                      <w:szCs w:val="21"/>
                    </w:rPr>
                  </w:pPr>
                  <w:r>
                    <w:rPr>
                      <w:rFonts w:hint="eastAsia"/>
                      <w:sz w:val="21"/>
                      <w:szCs w:val="21"/>
                    </w:rPr>
                    <w:t>药品间和危废暂存间地面和墙面进行防腐防渗处理，厂区内配备相关应急物资</w:t>
                  </w:r>
                </w:p>
              </w:tc>
              <w:tc>
                <w:tcPr>
                  <w:tcW w:w="2187" w:type="dxa"/>
                  <w:vAlign w:val="center"/>
                </w:tcPr>
                <w:p>
                  <w:pPr>
                    <w:rPr>
                      <w:sz w:val="21"/>
                      <w:szCs w:val="21"/>
                    </w:rPr>
                  </w:pPr>
                  <w:r>
                    <w:rPr>
                      <w:rFonts w:hint="eastAsia"/>
                      <w:sz w:val="21"/>
                      <w:szCs w:val="21"/>
                    </w:rPr>
                    <w:t>防渗等级满足相关要求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rPr>
                      <w:sz w:val="21"/>
                      <w:szCs w:val="21"/>
                    </w:rPr>
                  </w:pPr>
                  <w:r>
                    <w:rPr>
                      <w:rFonts w:hint="eastAsia"/>
                      <w:sz w:val="21"/>
                      <w:szCs w:val="21"/>
                    </w:rPr>
                    <w:t>生态环境</w:t>
                  </w:r>
                </w:p>
              </w:tc>
              <w:tc>
                <w:tcPr>
                  <w:tcW w:w="5721" w:type="dxa"/>
                  <w:gridSpan w:val="4"/>
                  <w:vAlign w:val="center"/>
                </w:tcPr>
                <w:p>
                  <w:pPr>
                    <w:rPr>
                      <w:sz w:val="21"/>
                      <w:szCs w:val="21"/>
                    </w:rPr>
                  </w:pPr>
                  <w:r>
                    <w:rPr>
                      <w:rFonts w:hint="eastAsia"/>
                      <w:sz w:val="21"/>
                      <w:szCs w:val="21"/>
                    </w:rPr>
                    <w:t>管网临时占地区恢复原地貌，表土及时覆土和植被恢复；污水处理厂厂界建设绿化带</w:t>
                  </w:r>
                </w:p>
              </w:tc>
              <w:tc>
                <w:tcPr>
                  <w:tcW w:w="2187" w:type="dxa"/>
                  <w:vAlign w:val="center"/>
                </w:tcPr>
                <w:p>
                  <w:pPr>
                    <w:rPr>
                      <w:sz w:val="21"/>
                      <w:szCs w:val="21"/>
                    </w:rPr>
                  </w:pPr>
                  <w:r>
                    <w:rPr>
                      <w:rFonts w:hint="eastAsia"/>
                      <w:sz w:val="21"/>
                      <w:szCs w:val="21"/>
                    </w:rPr>
                    <w:t>区域内的生态环境不被破坏，不新增水土流失</w:t>
                  </w:r>
                </w:p>
              </w:tc>
            </w:tr>
          </w:tbl>
          <w:p>
            <w:pPr>
              <w:tabs>
                <w:tab w:val="left" w:pos="417"/>
                <w:tab w:val="left" w:pos="3615"/>
              </w:tabs>
              <w:spacing w:line="360" w:lineRule="auto"/>
            </w:pPr>
          </w:p>
        </w:tc>
      </w:tr>
    </w:tbl>
    <w:p>
      <w:pPr>
        <w:pStyle w:val="3"/>
        <w:spacing w:before="0" w:after="0" w:line="360" w:lineRule="auto"/>
        <w:rPr>
          <w:sz w:val="30"/>
          <w:szCs w:val="30"/>
          <w:highlight w:val="yellow"/>
        </w:rPr>
      </w:pPr>
      <w:bookmarkStart w:id="26" w:name="_Toc440200058"/>
      <w:bookmarkStart w:id="27" w:name="_Toc27972"/>
      <w:r>
        <w:rPr>
          <w:sz w:val="30"/>
          <w:szCs w:val="30"/>
        </w:rPr>
        <w:br w:type="page"/>
      </w:r>
      <w:r>
        <w:rPr>
          <w:rStyle w:val="57"/>
          <w:b w:val="0"/>
        </w:rPr>
        <w:t>八、建设项目拟采取的防治措施及预期治理效果</w:t>
      </w:r>
      <w:bookmarkEnd w:id="26"/>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695"/>
        <w:gridCol w:w="1161"/>
        <w:gridCol w:w="1610"/>
        <w:gridCol w:w="2822"/>
        <w:gridCol w:w="1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25" w:type="dxa"/>
            <w:gridSpan w:val="2"/>
            <w:tcBorders>
              <w:top w:val="single" w:color="auto" w:sz="2" w:space="0"/>
              <w:left w:val="single" w:color="auto" w:sz="2" w:space="0"/>
              <w:bottom w:val="single" w:color="auto" w:sz="2" w:space="0"/>
              <w:right w:val="single" w:color="auto" w:sz="2" w:space="0"/>
              <w:tl2br w:val="single" w:color="auto" w:sz="2" w:space="0"/>
            </w:tcBorders>
            <w:vAlign w:val="center"/>
          </w:tcPr>
          <w:p>
            <w:pPr>
              <w:jc w:val="center"/>
              <w:rPr>
                <w:b/>
                <w:sz w:val="21"/>
                <w:szCs w:val="21"/>
              </w:rPr>
            </w:pPr>
            <w:bookmarkStart w:id="28" w:name="_Toc440"/>
            <w:r>
              <w:rPr>
                <w:rFonts w:hint="eastAsia"/>
                <w:b/>
                <w:sz w:val="21"/>
                <w:szCs w:val="21"/>
              </w:rPr>
              <w:t xml:space="preserve">     </w:t>
            </w:r>
            <w:r>
              <w:rPr>
                <w:b/>
                <w:sz w:val="21"/>
                <w:szCs w:val="21"/>
              </w:rPr>
              <w:t>内容</w:t>
            </w:r>
          </w:p>
          <w:p>
            <w:pPr>
              <w:rPr>
                <w:b/>
                <w:sz w:val="21"/>
                <w:szCs w:val="21"/>
              </w:rPr>
            </w:pPr>
            <w:r>
              <w:rPr>
                <w:b/>
                <w:sz w:val="21"/>
                <w:szCs w:val="21"/>
              </w:rPr>
              <w:t>类型</w:t>
            </w:r>
          </w:p>
        </w:tc>
        <w:tc>
          <w:tcPr>
            <w:tcW w:w="1161" w:type="dxa"/>
            <w:tcBorders>
              <w:top w:val="single" w:color="auto" w:sz="2" w:space="0"/>
              <w:left w:val="single" w:color="auto" w:sz="2" w:space="0"/>
              <w:bottom w:val="single" w:color="auto" w:sz="2" w:space="0"/>
              <w:right w:val="single" w:color="auto" w:sz="2" w:space="0"/>
            </w:tcBorders>
            <w:vAlign w:val="center"/>
          </w:tcPr>
          <w:p>
            <w:pPr>
              <w:jc w:val="center"/>
              <w:rPr>
                <w:b/>
                <w:sz w:val="21"/>
                <w:szCs w:val="21"/>
              </w:rPr>
            </w:pPr>
            <w:r>
              <w:rPr>
                <w:b/>
                <w:sz w:val="21"/>
                <w:szCs w:val="21"/>
              </w:rPr>
              <w:t>排放源</w:t>
            </w:r>
          </w:p>
        </w:tc>
        <w:tc>
          <w:tcPr>
            <w:tcW w:w="1610" w:type="dxa"/>
            <w:tcBorders>
              <w:top w:val="single" w:color="auto" w:sz="2" w:space="0"/>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
                <w:sz w:val="21"/>
                <w:szCs w:val="21"/>
              </w:rPr>
            </w:pPr>
            <w:r>
              <w:rPr>
                <w:rFonts w:eastAsia="宋体"/>
                <w:b/>
                <w:sz w:val="21"/>
                <w:szCs w:val="21"/>
              </w:rPr>
              <w:t>污染物名称</w:t>
            </w:r>
          </w:p>
        </w:tc>
        <w:tc>
          <w:tcPr>
            <w:tcW w:w="2822" w:type="dxa"/>
            <w:tcBorders>
              <w:top w:val="single" w:color="auto" w:sz="2" w:space="0"/>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
                <w:sz w:val="21"/>
                <w:szCs w:val="21"/>
              </w:rPr>
            </w:pPr>
            <w:r>
              <w:rPr>
                <w:rFonts w:hint="eastAsia" w:eastAsia="宋体"/>
                <w:b/>
                <w:sz w:val="21"/>
                <w:szCs w:val="21"/>
              </w:rPr>
              <w:t>防治措施</w:t>
            </w:r>
          </w:p>
        </w:tc>
        <w:tc>
          <w:tcPr>
            <w:tcW w:w="1762" w:type="dxa"/>
            <w:tcBorders>
              <w:top w:val="single" w:color="auto" w:sz="2" w:space="0"/>
              <w:left w:val="single" w:color="auto" w:sz="2" w:space="0"/>
              <w:bottom w:val="single" w:color="auto" w:sz="2" w:space="0"/>
              <w:right w:val="single" w:color="auto" w:sz="2" w:space="0"/>
            </w:tcBorders>
            <w:vAlign w:val="center"/>
          </w:tcPr>
          <w:p>
            <w:pPr>
              <w:jc w:val="center"/>
              <w:rPr>
                <w:b/>
                <w:sz w:val="21"/>
                <w:szCs w:val="21"/>
              </w:rPr>
            </w:pPr>
            <w:r>
              <w:rPr>
                <w:rFonts w:hint="eastAsia"/>
                <w:b/>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rPr>
                <w:bCs/>
                <w:sz w:val="21"/>
              </w:rPr>
            </w:pPr>
            <w:r>
              <w:rPr>
                <w:bCs/>
                <w:sz w:val="21"/>
              </w:rPr>
              <w:t>大气污染物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扬尘</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TSP</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施工工地场界采用围墙、挡板等遮挡措施，以有效地减少近地面扬尘的扩散</w:t>
            </w:r>
          </w:p>
        </w:tc>
        <w:tc>
          <w:tcPr>
            <w:tcW w:w="1762" w:type="dxa"/>
            <w:vMerge w:val="restart"/>
            <w:tcBorders>
              <w:top w:val="single" w:color="auto" w:sz="2"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对周围大气环境影响较小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rPr>
                <w:bCs/>
                <w:sz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施工机械</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NOx、CO、THC</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大气稀释</w:t>
            </w:r>
          </w:p>
        </w:tc>
        <w:tc>
          <w:tcPr>
            <w:tcW w:w="1762" w:type="dxa"/>
            <w:vMerge w:val="continue"/>
            <w:tcBorders>
              <w:left w:val="single" w:color="auto" w:sz="2" w:space="0"/>
              <w:right w:val="single" w:color="auto" w:sz="2" w:space="0"/>
            </w:tcBorders>
            <w:vAlign w:val="center"/>
          </w:tcPr>
          <w:p>
            <w:pPr>
              <w:pStyle w:val="72"/>
              <w:spacing w:line="240" w:lineRule="auto"/>
              <w:ind w:left="420"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94"/>
              <w:rPr>
                <w:bCs/>
                <w:sz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焊接</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挥发性有机物</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大气稀释</w:t>
            </w:r>
          </w:p>
        </w:tc>
        <w:tc>
          <w:tcPr>
            <w:tcW w:w="1762"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8"/>
              <w:jc w:val="center"/>
              <w:rPr>
                <w:rFonts w:ascii="Times New Roman" w:hAnsi="Times New Roman" w:cs="Times New Roman"/>
                <w:bCs/>
                <w:sz w:val="21"/>
                <w:szCs w:val="21"/>
              </w:rPr>
            </w:pPr>
          </w:p>
        </w:tc>
        <w:tc>
          <w:tcPr>
            <w:tcW w:w="695" w:type="dxa"/>
            <w:tcBorders>
              <w:left w:val="single" w:color="auto" w:sz="2" w:space="0"/>
              <w:right w:val="single" w:color="auto" w:sz="2" w:space="0"/>
            </w:tcBorders>
            <w:vAlign w:val="center"/>
          </w:tcPr>
          <w:p>
            <w:pPr>
              <w:pStyle w:val="98"/>
              <w:jc w:val="center"/>
              <w:rPr>
                <w:rFonts w:ascii="Times New Roman" w:hAnsi="Times New Roman" w:cs="Times New Roman"/>
                <w:bCs/>
                <w:sz w:val="21"/>
                <w:szCs w:val="21"/>
              </w:rPr>
            </w:pPr>
            <w:r>
              <w:rPr>
                <w:rFonts w:ascii="Times New Roman" w:hAnsi="Times New Roman" w:cs="Times New Roman"/>
                <w:bCs/>
                <w:sz w:val="21"/>
                <w:szCs w:val="21"/>
              </w:rPr>
              <w:t>运营期</w:t>
            </w:r>
          </w:p>
        </w:tc>
        <w:tc>
          <w:tcPr>
            <w:tcW w:w="1161"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污水</w:t>
            </w:r>
            <w:r>
              <w:rPr>
                <w:rFonts w:hint="eastAsia"/>
                <w:bCs/>
                <w:sz w:val="21"/>
                <w:szCs w:val="21"/>
              </w:rPr>
              <w:t>处理单元</w:t>
            </w:r>
          </w:p>
        </w:tc>
        <w:tc>
          <w:tcPr>
            <w:tcW w:w="1610"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H</w:t>
            </w:r>
            <w:r>
              <w:rPr>
                <w:rFonts w:eastAsia="宋体"/>
                <w:bCs/>
                <w:sz w:val="21"/>
                <w:szCs w:val="21"/>
                <w:vertAlign w:val="subscript"/>
              </w:rPr>
              <w:t>2</w:t>
            </w:r>
            <w:r>
              <w:rPr>
                <w:rFonts w:eastAsia="宋体"/>
                <w:bCs/>
                <w:sz w:val="21"/>
                <w:szCs w:val="21"/>
              </w:rPr>
              <w:t>S、NH</w:t>
            </w:r>
            <w:r>
              <w:rPr>
                <w:rFonts w:eastAsia="宋体"/>
                <w:bCs/>
                <w:sz w:val="21"/>
                <w:szCs w:val="21"/>
                <w:vertAlign w:val="subscript"/>
              </w:rPr>
              <w:t>3</w:t>
            </w:r>
            <w:r>
              <w:rPr>
                <w:rFonts w:eastAsia="宋体"/>
                <w:bCs/>
                <w:sz w:val="21"/>
                <w:szCs w:val="21"/>
              </w:rPr>
              <w:t>、臭气浓度</w:t>
            </w:r>
          </w:p>
        </w:tc>
        <w:tc>
          <w:tcPr>
            <w:tcW w:w="2822"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产臭单元半封闭</w:t>
            </w:r>
          </w:p>
        </w:tc>
        <w:tc>
          <w:tcPr>
            <w:tcW w:w="1762"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rFonts w:hint="eastAsia"/>
                <w:bCs/>
                <w:sz w:val="21"/>
                <w:szCs w:val="21"/>
              </w:rPr>
              <w:t>厂界达标排放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rPr>
                <w:bCs/>
                <w:sz w:val="21"/>
              </w:rPr>
            </w:pPr>
            <w:r>
              <w:rPr>
                <w:bCs/>
                <w:sz w:val="21"/>
              </w:rPr>
              <w:t>水污染物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right w:val="single" w:color="auto" w:sz="2" w:space="0"/>
            </w:tcBorders>
            <w:vAlign w:val="center"/>
          </w:tcPr>
          <w:p>
            <w:pPr>
              <w:jc w:val="center"/>
              <w:rPr>
                <w:bCs/>
                <w:sz w:val="21"/>
                <w:szCs w:val="21"/>
              </w:rPr>
            </w:pPr>
            <w:r>
              <w:rPr>
                <w:bCs/>
                <w:sz w:val="21"/>
                <w:szCs w:val="21"/>
              </w:rPr>
              <w:t>工程废水</w:t>
            </w:r>
          </w:p>
        </w:tc>
        <w:tc>
          <w:tcPr>
            <w:tcW w:w="1610" w:type="dxa"/>
            <w:tcBorders>
              <w:top w:val="single" w:color="auto" w:sz="2" w:space="0"/>
              <w:left w:val="single" w:color="auto" w:sz="2" w:space="0"/>
              <w:bottom w:val="single" w:color="auto" w:sz="4" w:space="0"/>
              <w:right w:val="single" w:color="auto" w:sz="2" w:space="0"/>
            </w:tcBorders>
            <w:vAlign w:val="center"/>
          </w:tcPr>
          <w:p>
            <w:pPr>
              <w:jc w:val="center"/>
              <w:rPr>
                <w:bCs/>
                <w:sz w:val="21"/>
                <w:szCs w:val="21"/>
              </w:rPr>
            </w:pPr>
            <w:r>
              <w:rPr>
                <w:rFonts w:hint="eastAsia"/>
                <w:bCs/>
                <w:sz w:val="21"/>
                <w:szCs w:val="21"/>
              </w:rPr>
              <w:t>SS</w:t>
            </w:r>
          </w:p>
        </w:tc>
        <w:tc>
          <w:tcPr>
            <w:tcW w:w="2822" w:type="dxa"/>
            <w:vMerge w:val="restart"/>
            <w:tcBorders>
              <w:top w:val="single" w:color="auto" w:sz="2"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设置临时沉淀池收集后，回用于施工区降尘</w:t>
            </w:r>
          </w:p>
        </w:tc>
        <w:tc>
          <w:tcPr>
            <w:tcW w:w="1762"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rPr>
                <w:bCs/>
                <w:sz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left w:val="single" w:color="auto" w:sz="2" w:space="0"/>
              <w:bottom w:val="single" w:color="auto" w:sz="4" w:space="0"/>
              <w:right w:val="single" w:color="auto" w:sz="2" w:space="0"/>
            </w:tcBorders>
            <w:vAlign w:val="center"/>
          </w:tcPr>
          <w:p>
            <w:pPr>
              <w:jc w:val="center"/>
              <w:rPr>
                <w:bCs/>
                <w:sz w:val="21"/>
                <w:szCs w:val="21"/>
              </w:rPr>
            </w:pPr>
            <w:r>
              <w:rPr>
                <w:bCs/>
                <w:sz w:val="21"/>
                <w:szCs w:val="21"/>
              </w:rPr>
              <w:t>基坑废水</w:t>
            </w:r>
          </w:p>
        </w:tc>
        <w:tc>
          <w:tcPr>
            <w:tcW w:w="1610" w:type="dxa"/>
            <w:tcBorders>
              <w:top w:val="single" w:color="auto" w:sz="2" w:space="0"/>
              <w:left w:val="single" w:color="auto" w:sz="2" w:space="0"/>
              <w:bottom w:val="single" w:color="auto" w:sz="4" w:space="0"/>
              <w:right w:val="single" w:color="auto" w:sz="2" w:space="0"/>
            </w:tcBorders>
            <w:vAlign w:val="center"/>
          </w:tcPr>
          <w:p>
            <w:pPr>
              <w:jc w:val="center"/>
              <w:rPr>
                <w:bCs/>
                <w:sz w:val="21"/>
                <w:szCs w:val="21"/>
              </w:rPr>
            </w:pPr>
            <w:r>
              <w:rPr>
                <w:rFonts w:hint="eastAsia"/>
                <w:bCs/>
                <w:sz w:val="21"/>
                <w:szCs w:val="21"/>
              </w:rPr>
              <w:t>SS</w:t>
            </w:r>
          </w:p>
        </w:tc>
        <w:tc>
          <w:tcPr>
            <w:tcW w:w="2822" w:type="dxa"/>
            <w:vMerge w:val="continue"/>
            <w:tcBorders>
              <w:left w:val="single" w:color="auto" w:sz="2" w:space="0"/>
              <w:right w:val="single" w:color="auto" w:sz="2" w:space="0"/>
            </w:tcBorders>
            <w:vAlign w:val="center"/>
          </w:tcPr>
          <w:p>
            <w:pPr>
              <w:pStyle w:val="72"/>
              <w:spacing w:line="240" w:lineRule="auto"/>
              <w:ind w:left="420" w:firstLine="0"/>
              <w:jc w:val="center"/>
              <w:rPr>
                <w:rFonts w:eastAsia="宋体"/>
                <w:bCs/>
                <w:sz w:val="21"/>
                <w:szCs w:val="21"/>
              </w:rPr>
            </w:pP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72"/>
              <w:spacing w:line="240" w:lineRule="auto"/>
              <w:ind w:left="420" w:firstLine="0"/>
              <w:jc w:val="center"/>
              <w:rPr>
                <w:rFonts w:eastAsia="宋体"/>
                <w:bCs/>
                <w:sz w:val="21"/>
                <w:szCs w:val="21"/>
              </w:rPr>
            </w:pPr>
          </w:p>
        </w:tc>
        <w:tc>
          <w:tcPr>
            <w:tcW w:w="695"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jc w:val="center"/>
              <w:rPr>
                <w:rFonts w:eastAsia="宋体"/>
                <w:bCs/>
                <w:sz w:val="21"/>
                <w:szCs w:val="21"/>
              </w:rPr>
            </w:pPr>
          </w:p>
        </w:tc>
        <w:tc>
          <w:tcPr>
            <w:tcW w:w="1161"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施工人员</w:t>
            </w: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生活废水</w:t>
            </w:r>
          </w:p>
        </w:tc>
        <w:tc>
          <w:tcPr>
            <w:tcW w:w="2822"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rPr>
                <w:rFonts w:eastAsia="宋体"/>
                <w:bCs/>
                <w:sz w:val="21"/>
                <w:szCs w:val="21"/>
              </w:rPr>
            </w:pPr>
          </w:p>
        </w:tc>
        <w:tc>
          <w:tcPr>
            <w:tcW w:w="1762" w:type="dxa"/>
            <w:vMerge w:val="continue"/>
            <w:tcBorders>
              <w:left w:val="single" w:color="auto" w:sz="2" w:space="0"/>
              <w:bottom w:val="single" w:color="auto" w:sz="4" w:space="0"/>
              <w:right w:val="single" w:color="auto" w:sz="2" w:space="0"/>
            </w:tcBorders>
            <w:vAlign w:val="center"/>
          </w:tcPr>
          <w:p>
            <w:pPr>
              <w:pStyle w:val="72"/>
              <w:spacing w:line="240" w:lineRule="auto"/>
              <w:ind w:firstLine="0"/>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jc w:val="center"/>
              <w:rPr>
                <w:rFonts w:eastAsia="宋体"/>
                <w:bCs/>
                <w:sz w:val="21"/>
                <w:szCs w:val="21"/>
              </w:rPr>
            </w:pPr>
          </w:p>
        </w:tc>
        <w:tc>
          <w:tcPr>
            <w:tcW w:w="695" w:type="dxa"/>
            <w:vMerge w:val="restart"/>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运营期</w:t>
            </w:r>
          </w:p>
        </w:tc>
        <w:tc>
          <w:tcPr>
            <w:tcW w:w="1161" w:type="dxa"/>
            <w:vMerge w:val="restart"/>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污水处理厂污水</w:t>
            </w: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BOD</w:t>
            </w:r>
            <w:r>
              <w:rPr>
                <w:bCs/>
                <w:sz w:val="21"/>
                <w:szCs w:val="21"/>
                <w:vertAlign w:val="subscript"/>
              </w:rPr>
              <w:t>5</w:t>
            </w:r>
          </w:p>
        </w:tc>
        <w:tc>
          <w:tcPr>
            <w:tcW w:w="2822" w:type="dxa"/>
            <w:vMerge w:val="restart"/>
            <w:tcBorders>
              <w:top w:val="single" w:color="auto" w:sz="4"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经污水处理厂</w:t>
            </w:r>
            <w:r>
              <w:rPr>
                <w:rFonts w:eastAsia="宋体"/>
                <w:bCs/>
                <w:sz w:val="21"/>
                <w:szCs w:val="21"/>
              </w:rPr>
              <w:t>处理达标后，排入人工湿地</w:t>
            </w:r>
          </w:p>
        </w:tc>
        <w:tc>
          <w:tcPr>
            <w:tcW w:w="1762" w:type="dxa"/>
            <w:vMerge w:val="restart"/>
            <w:tcBorders>
              <w:left w:val="single" w:color="auto" w:sz="2" w:space="0"/>
              <w:right w:val="single" w:color="auto" w:sz="2" w:space="0"/>
            </w:tcBorders>
            <w:vAlign w:val="center"/>
          </w:tcPr>
          <w:p>
            <w:pPr>
              <w:jc w:val="center"/>
              <w:rPr>
                <w:bCs/>
                <w:sz w:val="21"/>
                <w:szCs w:val="21"/>
              </w:rPr>
            </w:pPr>
            <w:r>
              <w:rPr>
                <w:rFonts w:hint="eastAsia"/>
                <w:bCs/>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COD</w:t>
            </w:r>
            <w:r>
              <w:rPr>
                <w:bCs/>
                <w:sz w:val="21"/>
                <w:szCs w:val="21"/>
                <w:vertAlign w:val="subscript"/>
              </w:rPr>
              <w:t>cr</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SS</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NH</w:t>
            </w:r>
            <w:r>
              <w:rPr>
                <w:bCs/>
                <w:sz w:val="21"/>
                <w:szCs w:val="21"/>
                <w:vertAlign w:val="subscript"/>
              </w:rPr>
              <w:t>3</w:t>
            </w:r>
            <w:r>
              <w:rPr>
                <w:bCs/>
                <w:sz w:val="21"/>
                <w:szCs w:val="21"/>
              </w:rPr>
              <w:t>-N</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TN</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1161"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TP</w:t>
            </w:r>
          </w:p>
        </w:tc>
        <w:tc>
          <w:tcPr>
            <w:tcW w:w="2822"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1762"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jc w:val="center"/>
              <w:rPr>
                <w:bCs/>
                <w:sz w:val="21"/>
                <w:szCs w:val="21"/>
              </w:rPr>
            </w:pPr>
            <w:r>
              <w:rPr>
                <w:bCs/>
                <w:sz w:val="21"/>
                <w:szCs w:val="21"/>
              </w:rPr>
              <w:t>固体</w:t>
            </w:r>
          </w:p>
          <w:p>
            <w:pPr>
              <w:jc w:val="center"/>
              <w:rPr>
                <w:bCs/>
                <w:sz w:val="21"/>
                <w:szCs w:val="21"/>
              </w:rPr>
            </w:pPr>
            <w:r>
              <w:rPr>
                <w:bCs/>
                <w:sz w:val="21"/>
                <w:szCs w:val="21"/>
              </w:rPr>
              <w:t>废弃</w:t>
            </w:r>
          </w:p>
          <w:p>
            <w:pPr>
              <w:jc w:val="center"/>
              <w:rPr>
                <w:bCs/>
                <w:sz w:val="21"/>
                <w:szCs w:val="21"/>
              </w:rPr>
            </w:pPr>
            <w:r>
              <w:rPr>
                <w:bCs/>
                <w:sz w:val="21"/>
                <w:szCs w:val="21"/>
              </w:rPr>
              <w:t>物</w:t>
            </w:r>
          </w:p>
        </w:tc>
        <w:tc>
          <w:tcPr>
            <w:tcW w:w="695"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施工开挖</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土石方</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rPr>
                <w:rFonts w:eastAsia="宋体"/>
                <w:bCs/>
                <w:sz w:val="21"/>
                <w:szCs w:val="21"/>
              </w:rPr>
            </w:pPr>
            <w:r>
              <w:rPr>
                <w:rFonts w:eastAsia="宋体"/>
                <w:bCs/>
                <w:sz w:val="21"/>
                <w:szCs w:val="21"/>
              </w:rPr>
              <w:t>清运至镇管理部门指定地点处置</w:t>
            </w:r>
          </w:p>
        </w:tc>
        <w:tc>
          <w:tcPr>
            <w:tcW w:w="1762"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合理处置，处置率为100%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施工人员</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生活垃圾</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rPr>
                <w:rFonts w:eastAsia="宋体"/>
                <w:bCs/>
                <w:sz w:val="21"/>
                <w:szCs w:val="21"/>
              </w:rPr>
            </w:pPr>
            <w:r>
              <w:rPr>
                <w:rFonts w:eastAsia="宋体"/>
                <w:bCs/>
                <w:sz w:val="21"/>
                <w:szCs w:val="21"/>
              </w:rPr>
              <w:t>由环卫部门清运处置</w:t>
            </w: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restart"/>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管道清掏</w:t>
            </w: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污泥</w:t>
            </w:r>
          </w:p>
        </w:tc>
        <w:tc>
          <w:tcPr>
            <w:tcW w:w="2822" w:type="dxa"/>
            <w:tcBorders>
              <w:top w:val="single" w:color="auto" w:sz="4"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eastAsia="宋体"/>
                <w:bCs/>
                <w:sz w:val="21"/>
                <w:szCs w:val="21"/>
              </w:rPr>
              <w:t>采用吸污车外运至附近的</w:t>
            </w:r>
            <w:r>
              <w:rPr>
                <w:rFonts w:hint="eastAsia" w:eastAsia="宋体"/>
                <w:bCs/>
                <w:sz w:val="21"/>
                <w:szCs w:val="21"/>
              </w:rPr>
              <w:t>集镇</w:t>
            </w:r>
            <w:r>
              <w:rPr>
                <w:rFonts w:eastAsia="宋体"/>
                <w:bCs/>
                <w:sz w:val="21"/>
                <w:szCs w:val="21"/>
              </w:rPr>
              <w:t>污水处理厂</w:t>
            </w:r>
            <w:r>
              <w:rPr>
                <w:rFonts w:hint="eastAsia" w:eastAsia="宋体"/>
                <w:bCs/>
                <w:sz w:val="21"/>
                <w:szCs w:val="21"/>
              </w:rPr>
              <w:t>脱水处理达标后，与污水处理厂污泥一并清运至洱源县垃圾填埋场</w:t>
            </w:r>
          </w:p>
        </w:tc>
        <w:tc>
          <w:tcPr>
            <w:tcW w:w="1762" w:type="dxa"/>
            <w:vMerge w:val="continue"/>
            <w:tcBorders>
              <w:left w:val="single" w:color="auto" w:sz="2" w:space="0"/>
              <w:right w:val="single" w:color="auto" w:sz="2" w:space="0"/>
            </w:tcBorders>
            <w:vAlign w:val="center"/>
          </w:tcPr>
          <w:p>
            <w:pPr>
              <w:pStyle w:val="72"/>
              <w:spacing w:line="240" w:lineRule="auto"/>
              <w:ind w:firstLine="0"/>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restart"/>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污水处理厂</w:t>
            </w: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格栅渣</w:t>
            </w:r>
          </w:p>
        </w:tc>
        <w:tc>
          <w:tcPr>
            <w:tcW w:w="2822" w:type="dxa"/>
            <w:vMerge w:val="restart"/>
            <w:tcBorders>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定期收集后，清运至洱源县垃圾填埋场</w:t>
            </w:r>
            <w:r>
              <w:rPr>
                <w:rFonts w:eastAsia="宋体"/>
                <w:bCs/>
                <w:sz w:val="21"/>
                <w:szCs w:val="21"/>
              </w:rPr>
              <w:t>处置</w:t>
            </w: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40" w:lineRule="auto"/>
              <w:ind w:firstLine="0"/>
              <w:rPr>
                <w:rFonts w:eastAsia="宋体"/>
                <w:bCs/>
                <w:sz w:val="21"/>
                <w:szCs w:val="21"/>
              </w:rPr>
            </w:pP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生活垃圾</w:t>
            </w:r>
          </w:p>
        </w:tc>
        <w:tc>
          <w:tcPr>
            <w:tcW w:w="2822" w:type="dxa"/>
            <w:vMerge w:val="continue"/>
            <w:tcBorders>
              <w:left w:val="single" w:color="auto" w:sz="2" w:space="0"/>
              <w:right w:val="single" w:color="auto" w:sz="2" w:space="0"/>
            </w:tcBorders>
            <w:vAlign w:val="center"/>
          </w:tcPr>
          <w:p>
            <w:pPr>
              <w:pStyle w:val="72"/>
              <w:spacing w:line="240" w:lineRule="auto"/>
              <w:ind w:firstLine="0"/>
              <w:rPr>
                <w:rFonts w:eastAsia="宋体"/>
                <w:bCs/>
                <w:sz w:val="21"/>
                <w:szCs w:val="21"/>
              </w:rPr>
            </w:pP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污泥</w:t>
            </w:r>
          </w:p>
        </w:tc>
        <w:tc>
          <w:tcPr>
            <w:tcW w:w="2822" w:type="dxa"/>
            <w:tcBorders>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脱水处理达标后，清运至洱源县垃圾填埋场处置</w:t>
            </w:r>
          </w:p>
        </w:tc>
        <w:tc>
          <w:tcPr>
            <w:tcW w:w="1762" w:type="dxa"/>
            <w:vMerge w:val="continue"/>
            <w:tcBorders>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continue"/>
            <w:tcBorders>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废机油</w:t>
            </w:r>
          </w:p>
        </w:tc>
        <w:tc>
          <w:tcPr>
            <w:tcW w:w="2822" w:type="dxa"/>
            <w:tcBorders>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暂存后委托有资质的单位清运处置</w:t>
            </w:r>
          </w:p>
        </w:tc>
        <w:tc>
          <w:tcPr>
            <w:tcW w:w="1762" w:type="dxa"/>
            <w:tcBorders>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jc w:val="center"/>
              <w:rPr>
                <w:bCs/>
                <w:sz w:val="21"/>
                <w:szCs w:val="21"/>
              </w:rPr>
            </w:pPr>
            <w:r>
              <w:rPr>
                <w:bCs/>
                <w:sz w:val="21"/>
                <w:szCs w:val="21"/>
              </w:rPr>
              <w:t>噪声</w:t>
            </w:r>
          </w:p>
        </w:tc>
        <w:tc>
          <w:tcPr>
            <w:tcW w:w="695"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小型施工机械</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噪声</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合理布局，设置围挡，采用低噪声设备，加强管理、禁止夜间施工等</w:t>
            </w:r>
          </w:p>
        </w:tc>
        <w:tc>
          <w:tcPr>
            <w:tcW w:w="176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rPr>
                <w:rFonts w:eastAsia="宋体"/>
                <w:sz w:val="21"/>
                <w:szCs w:val="21"/>
              </w:rPr>
            </w:pPr>
            <w:r>
              <w:rPr>
                <w:rFonts w:eastAsia="宋体"/>
                <w:sz w:val="21"/>
                <w:szCs w:val="21"/>
              </w:rPr>
              <w:t>昼间：≤70dB（A）</w:t>
            </w:r>
          </w:p>
          <w:p>
            <w:pPr>
              <w:rPr>
                <w:sz w:val="21"/>
                <w:szCs w:val="21"/>
              </w:rPr>
            </w:pPr>
            <w:r>
              <w:rPr>
                <w:bCs/>
                <w:sz w:val="21"/>
                <w:szCs w:val="21"/>
              </w:rPr>
              <w:t>夜间：≤55</w:t>
            </w:r>
            <w:r>
              <w:rPr>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tcBorders>
              <w:top w:val="single" w:color="auto" w:sz="4" w:space="0"/>
              <w:left w:val="single" w:color="auto" w:sz="2" w:space="0"/>
              <w:bottom w:val="single" w:color="auto" w:sz="4" w:space="0"/>
              <w:right w:val="single" w:color="auto" w:sz="4" w:space="0"/>
            </w:tcBorders>
            <w:vAlign w:val="center"/>
          </w:tcPr>
          <w:p>
            <w:pPr>
              <w:pStyle w:val="72"/>
              <w:spacing w:line="240"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4"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鼓风机、提升泵、污泥回流泵</w:t>
            </w:r>
          </w:p>
        </w:tc>
        <w:tc>
          <w:tcPr>
            <w:tcW w:w="1610"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噪声</w:t>
            </w:r>
          </w:p>
        </w:tc>
        <w:tc>
          <w:tcPr>
            <w:tcW w:w="2822"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邓川、右所污水厂采取基础减震、构筑物</w:t>
            </w:r>
            <w:r>
              <w:rPr>
                <w:rFonts w:eastAsia="宋体"/>
                <w:bCs/>
                <w:sz w:val="21"/>
                <w:szCs w:val="21"/>
              </w:rPr>
              <w:t>隔声</w:t>
            </w:r>
            <w:r>
              <w:rPr>
                <w:rFonts w:hint="eastAsia" w:eastAsia="宋体"/>
                <w:bCs/>
                <w:sz w:val="21"/>
                <w:szCs w:val="21"/>
              </w:rPr>
              <w:t>；牛街污水厂采取基础减震+隔声系统</w:t>
            </w:r>
          </w:p>
        </w:tc>
        <w:tc>
          <w:tcPr>
            <w:tcW w:w="1762"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rPr>
                <w:rFonts w:eastAsia="宋体"/>
                <w:sz w:val="21"/>
                <w:szCs w:val="21"/>
              </w:rPr>
            </w:pPr>
            <w:r>
              <w:rPr>
                <w:rFonts w:eastAsia="宋体"/>
                <w:sz w:val="21"/>
                <w:szCs w:val="21"/>
              </w:rPr>
              <w:t>昼间：≤</w:t>
            </w:r>
            <w:r>
              <w:rPr>
                <w:rFonts w:hint="eastAsia" w:eastAsia="宋体"/>
                <w:sz w:val="21"/>
                <w:szCs w:val="21"/>
              </w:rPr>
              <w:t>6</w:t>
            </w:r>
            <w:r>
              <w:rPr>
                <w:rFonts w:eastAsia="宋体"/>
                <w:sz w:val="21"/>
                <w:szCs w:val="21"/>
              </w:rPr>
              <w:t>0dB（A）</w:t>
            </w:r>
          </w:p>
          <w:p>
            <w:pPr>
              <w:pStyle w:val="72"/>
              <w:spacing w:line="240" w:lineRule="auto"/>
              <w:ind w:firstLine="0"/>
              <w:rPr>
                <w:rFonts w:eastAsia="宋体"/>
                <w:bCs/>
                <w:sz w:val="21"/>
                <w:szCs w:val="21"/>
              </w:rPr>
            </w:pPr>
            <w:r>
              <w:rPr>
                <w:rFonts w:eastAsia="宋体"/>
                <w:bCs/>
                <w:sz w:val="21"/>
                <w:szCs w:val="21"/>
              </w:rPr>
              <w:t>夜间：≤5</w:t>
            </w:r>
            <w:r>
              <w:rPr>
                <w:rFonts w:hint="eastAsia" w:eastAsia="宋体"/>
                <w:bCs/>
                <w:sz w:val="21"/>
                <w:szCs w:val="21"/>
              </w:rPr>
              <w:t>0</w:t>
            </w:r>
            <w:r>
              <w:rPr>
                <w:rFonts w:eastAsia="宋体"/>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tcBorders>
              <w:left w:val="single" w:color="auto" w:sz="2" w:space="0"/>
              <w:right w:val="single" w:color="auto" w:sz="2" w:space="0"/>
            </w:tcBorders>
            <w:vAlign w:val="center"/>
          </w:tcPr>
          <w:p>
            <w:pPr>
              <w:jc w:val="center"/>
              <w:rPr>
                <w:bCs/>
                <w:sz w:val="21"/>
                <w:szCs w:val="21"/>
              </w:rPr>
            </w:pPr>
            <w:r>
              <w:rPr>
                <w:rFonts w:hint="eastAsia"/>
                <w:bCs/>
                <w:sz w:val="21"/>
                <w:szCs w:val="21"/>
              </w:rPr>
              <w:t>其他</w:t>
            </w:r>
          </w:p>
        </w:tc>
        <w:tc>
          <w:tcPr>
            <w:tcW w:w="8050" w:type="dxa"/>
            <w:gridSpan w:val="5"/>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80" w:type="dxa"/>
            <w:gridSpan w:val="6"/>
            <w:tcBorders>
              <w:left w:val="single" w:color="auto" w:sz="2" w:space="0"/>
              <w:bottom w:val="single" w:color="auto" w:sz="2" w:space="0"/>
              <w:right w:val="single" w:color="auto" w:sz="2" w:space="0"/>
            </w:tcBorders>
            <w:vAlign w:val="center"/>
          </w:tcPr>
          <w:p>
            <w:pPr>
              <w:adjustRightInd w:val="0"/>
              <w:snapToGrid w:val="0"/>
              <w:spacing w:beforeLines="50" w:line="360" w:lineRule="auto"/>
              <w:rPr>
                <w:b/>
                <w:bCs/>
                <w:szCs w:val="24"/>
              </w:rPr>
            </w:pPr>
            <w:r>
              <w:rPr>
                <w:rFonts w:hint="eastAsia"/>
                <w:b/>
                <w:bCs/>
                <w:szCs w:val="24"/>
              </w:rPr>
              <w:t>生态保护措施及预期治理效果：</w:t>
            </w:r>
          </w:p>
          <w:p>
            <w:pPr>
              <w:adjustRightInd w:val="0"/>
              <w:snapToGrid w:val="0"/>
              <w:spacing w:line="360" w:lineRule="auto"/>
              <w:ind w:firstLine="482" w:firstLineChars="200"/>
              <w:rPr>
                <w:b/>
                <w:bCs/>
                <w:szCs w:val="24"/>
              </w:rPr>
            </w:pPr>
            <w:r>
              <w:rPr>
                <w:b/>
                <w:bCs/>
                <w:szCs w:val="24"/>
              </w:rPr>
              <w:t>1、植物保护措施</w:t>
            </w:r>
          </w:p>
          <w:p>
            <w:pPr>
              <w:adjustRightInd w:val="0"/>
              <w:snapToGrid w:val="0"/>
              <w:spacing w:line="360" w:lineRule="auto"/>
              <w:ind w:firstLine="480" w:firstLineChars="200"/>
              <w:rPr>
                <w:szCs w:val="24"/>
              </w:rPr>
            </w:pPr>
            <w:r>
              <w:rPr>
                <w:szCs w:val="24"/>
              </w:rPr>
              <w:t>项目施工建设等都将破坏当地的植被，必须采取措施加以恢复；对于临时建筑物和临时公路，在施工结束后，应该拆除建筑物，并覆土、迹地恢复。对于土方堆场，在施工结束后应覆土绿化，植被恢复宜选在雨季进行，并采用当地植物的种子、幼苗进行种植，避免使用外来物种。</w:t>
            </w:r>
          </w:p>
          <w:p>
            <w:pPr>
              <w:adjustRightInd w:val="0"/>
              <w:snapToGrid w:val="0"/>
              <w:spacing w:line="360" w:lineRule="auto"/>
              <w:ind w:firstLine="482" w:firstLineChars="200"/>
              <w:rPr>
                <w:b/>
                <w:bCs/>
                <w:szCs w:val="24"/>
              </w:rPr>
            </w:pPr>
            <w:r>
              <w:rPr>
                <w:b/>
                <w:bCs/>
                <w:szCs w:val="24"/>
              </w:rPr>
              <w:t>2、陆生动物保护措施</w:t>
            </w:r>
          </w:p>
          <w:p>
            <w:pPr>
              <w:adjustRightInd w:val="0"/>
              <w:snapToGrid w:val="0"/>
              <w:spacing w:line="360" w:lineRule="auto"/>
              <w:ind w:firstLine="480" w:firstLineChars="200"/>
              <w:rPr>
                <w:szCs w:val="24"/>
              </w:rPr>
            </w:pPr>
            <w:r>
              <w:rPr>
                <w:szCs w:val="24"/>
              </w:rPr>
              <w:t>（1）提高施工人员的环境保护和野生动物保护意识，在施工期设置保护动物的警示牌，通过制度化严禁施工人员非法捕猎野生动物，禁止施工人员捕猎动物，以减轻施工对当地陆生动物的影响。</w:t>
            </w:r>
          </w:p>
          <w:p>
            <w:pPr>
              <w:pStyle w:val="83"/>
              <w:adjustRightInd w:val="0"/>
              <w:snapToGrid w:val="0"/>
              <w:ind w:firstLine="448"/>
              <w:rPr>
                <w:rFonts w:ascii="Times New Roman" w:hAnsi="Times New Roman"/>
                <w:b w:val="0"/>
              </w:rPr>
            </w:pPr>
            <w:r>
              <w:rPr>
                <w:rFonts w:ascii="Times New Roman" w:hAnsi="Times New Roman"/>
                <w:b w:val="0"/>
              </w:rPr>
              <w:t>（2）在施工中尽量减少对动物栖息地、取食地和巢穴的破坏，能避让的尽可能采取避让措施，坚持“先防护，后施工”的原则，以保证两栖动物的栖息地不受或少受影响。在施工中遇到幼兽、幼鸟应咨询林业局的专业人员，进行妥善处理。</w:t>
            </w:r>
          </w:p>
          <w:p>
            <w:pPr>
              <w:adjustRightInd w:val="0"/>
              <w:snapToGrid w:val="0"/>
              <w:spacing w:line="360" w:lineRule="auto"/>
              <w:ind w:firstLine="482" w:firstLineChars="200"/>
              <w:rPr>
                <w:b/>
                <w:bCs/>
                <w:szCs w:val="24"/>
              </w:rPr>
            </w:pPr>
            <w:r>
              <w:rPr>
                <w:b/>
                <w:bCs/>
                <w:szCs w:val="24"/>
              </w:rPr>
              <w:t>3、水土保持措施</w:t>
            </w:r>
          </w:p>
          <w:p>
            <w:pPr>
              <w:adjustRightInd w:val="0"/>
              <w:snapToGrid w:val="0"/>
              <w:spacing w:line="360" w:lineRule="auto"/>
              <w:ind w:firstLine="480" w:firstLineChars="200"/>
              <w:rPr>
                <w:szCs w:val="24"/>
              </w:rPr>
            </w:pPr>
            <w:r>
              <w:rPr>
                <w:szCs w:val="24"/>
              </w:rPr>
              <w:t>土方及弃渣封闭运输，做好临近水域区域的水土保持，在边坡不稳定区域增加编制土袋挡护；做好后期植被抚育，种植有较好水源涵养作用的植被等。</w:t>
            </w:r>
          </w:p>
          <w:p>
            <w:pPr>
              <w:adjustRightInd w:val="0"/>
              <w:snapToGrid w:val="0"/>
              <w:spacing w:line="360" w:lineRule="auto"/>
              <w:ind w:firstLine="480" w:firstLineChars="200"/>
              <w:rPr>
                <w:szCs w:val="24"/>
              </w:rPr>
            </w:pPr>
            <w:r>
              <w:rPr>
                <w:szCs w:val="24"/>
              </w:rPr>
              <w:t>施工临时占地在施工结束后进行迹地恢复，对临时占用利用其表土进行恢复，使恢复后的土壤质量不低于原来的土壤质量；对临时占用的林地进行复垦，使原来的植被区域恢复到不低于原来生态质量的水平。</w:t>
            </w: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72"/>
              <w:spacing w:line="240" w:lineRule="auto"/>
              <w:ind w:firstLine="0"/>
              <w:rPr>
                <w:sz w:val="21"/>
                <w:szCs w:val="21"/>
              </w:rPr>
            </w:pPr>
          </w:p>
          <w:p>
            <w:pPr>
              <w:rPr>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jc w:val="both"/>
              <w:rPr>
                <w:bCs/>
                <w:sz w:val="21"/>
                <w:szCs w:val="21"/>
              </w:rPr>
            </w:pPr>
          </w:p>
          <w:p>
            <w:pPr>
              <w:pStyle w:val="2"/>
              <w:rPr>
                <w:bCs/>
                <w:sz w:val="21"/>
                <w:szCs w:val="21"/>
              </w:rPr>
            </w:pPr>
          </w:p>
          <w:p>
            <w:pPr>
              <w:pStyle w:val="2"/>
              <w:rPr>
                <w:bCs/>
                <w:sz w:val="21"/>
                <w:szCs w:val="21"/>
              </w:rPr>
            </w:pPr>
          </w:p>
        </w:tc>
      </w:tr>
    </w:tbl>
    <w:p>
      <w:pPr>
        <w:pStyle w:val="3"/>
        <w:spacing w:before="0" w:after="0" w:line="360" w:lineRule="auto"/>
        <w:rPr>
          <w:sz w:val="30"/>
          <w:szCs w:val="30"/>
        </w:rPr>
      </w:pPr>
      <w:r>
        <w:rPr>
          <w:sz w:val="30"/>
          <w:szCs w:val="30"/>
        </w:rPr>
        <w:br w:type="page"/>
      </w:r>
      <w:r>
        <w:rPr>
          <w:sz w:val="32"/>
          <w:szCs w:val="32"/>
        </w:rPr>
        <w:t>九、结论与建议</w:t>
      </w:r>
      <w:bookmarkEnd w:id="28"/>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6" w:hRule="atLeast"/>
          <w:jc w:val="center"/>
        </w:trPr>
        <w:tc>
          <w:tcPr>
            <w:tcW w:w="8731" w:type="dxa"/>
          </w:tcPr>
          <w:p>
            <w:pPr>
              <w:adjustRightInd w:val="0"/>
              <w:snapToGrid w:val="0"/>
              <w:spacing w:beforeLines="50" w:line="360" w:lineRule="auto"/>
              <w:rPr>
                <w:b/>
                <w:sz w:val="28"/>
                <w:szCs w:val="28"/>
              </w:rPr>
            </w:pPr>
            <w:r>
              <w:rPr>
                <w:rFonts w:hint="eastAsia"/>
                <w:b/>
                <w:sz w:val="28"/>
                <w:szCs w:val="28"/>
              </w:rPr>
              <w:t>（一）主要</w:t>
            </w:r>
            <w:r>
              <w:rPr>
                <w:b/>
                <w:sz w:val="28"/>
                <w:szCs w:val="28"/>
              </w:rPr>
              <w:t>结论</w:t>
            </w:r>
          </w:p>
          <w:p>
            <w:pPr>
              <w:adjustRightInd w:val="0"/>
              <w:snapToGrid w:val="0"/>
              <w:spacing w:line="360" w:lineRule="auto"/>
              <w:ind w:firstLine="482" w:firstLineChars="200"/>
              <w:rPr>
                <w:b/>
                <w:bCs/>
                <w:szCs w:val="24"/>
              </w:rPr>
            </w:pPr>
            <w:r>
              <w:rPr>
                <w:rFonts w:hint="eastAsia"/>
                <w:b/>
                <w:bCs/>
                <w:szCs w:val="24"/>
              </w:rPr>
              <w:t>1、项目概况</w:t>
            </w:r>
          </w:p>
          <w:p>
            <w:pPr>
              <w:tabs>
                <w:tab w:val="left" w:pos="417"/>
                <w:tab w:val="left" w:pos="3615"/>
              </w:tabs>
              <w:adjustRightInd w:val="0"/>
              <w:snapToGrid w:val="0"/>
              <w:spacing w:line="360" w:lineRule="auto"/>
              <w:ind w:firstLine="480" w:firstLineChars="200"/>
            </w:pPr>
            <w:r>
              <w:rPr>
                <w:szCs w:val="24"/>
              </w:rPr>
              <w:t>本工程包括</w:t>
            </w:r>
            <w:r>
              <w:rPr>
                <w:rFonts w:hint="eastAsia"/>
                <w:szCs w:val="24"/>
              </w:rPr>
              <w:t>2</w:t>
            </w:r>
            <w:r>
              <w:rPr>
                <w:szCs w:val="24"/>
              </w:rPr>
              <w:t>座污水处理厂提标改造</w:t>
            </w:r>
            <w:r>
              <w:rPr>
                <w:rFonts w:hint="eastAsia"/>
                <w:szCs w:val="24"/>
              </w:rPr>
              <w:t>（</w:t>
            </w:r>
            <w:r>
              <w:rPr>
                <w:szCs w:val="24"/>
              </w:rPr>
              <w:t>邓川污水处理厂、西湖污水处理厂</w:t>
            </w:r>
            <w:r>
              <w:rPr>
                <w:rFonts w:hint="eastAsia"/>
                <w:szCs w:val="24"/>
              </w:rPr>
              <w:t>）及1座污水厂新建（</w:t>
            </w:r>
            <w:r>
              <w:rPr>
                <w:szCs w:val="24"/>
              </w:rPr>
              <w:t>牛街污水处理厂</w:t>
            </w:r>
            <w:r>
              <w:rPr>
                <w:rFonts w:hint="eastAsia"/>
                <w:szCs w:val="24"/>
              </w:rPr>
              <w:t>）</w:t>
            </w:r>
            <w:r>
              <w:rPr>
                <w:szCs w:val="24"/>
              </w:rPr>
              <w:t>；以及茈碧湖镇、右所镇、邓川镇、凤羽镇、牛街乡、三营镇6个乡镇</w:t>
            </w:r>
            <w:r>
              <w:rPr>
                <w:rFonts w:hint="eastAsia"/>
                <w:szCs w:val="24"/>
              </w:rPr>
              <w:t>4</w:t>
            </w:r>
            <w:r>
              <w:rPr>
                <w:szCs w:val="24"/>
              </w:rPr>
              <w:t>1个自然村的管网修复。</w:t>
            </w:r>
            <w:r>
              <w:t>将原邓川污水处理厂氧化沟工艺提标改造为4套 500t/d MBR工艺的CWT设备及配套设施；将原右所污水处理厂硅藻土工艺提标改造为2套500t/d MBR工艺的CWT 设备及配套设施；在原牛街污水处理厂附近，新建一座1000 t/d MBR工艺设备污水处理厂。</w:t>
            </w:r>
            <w:r>
              <w:rPr>
                <w:szCs w:val="24"/>
              </w:rPr>
              <w:t>本次管网修复完善共涉及180km，</w:t>
            </w:r>
            <w:r>
              <w:t>新建污水管网32km，清淤修复旧管网148km，修复改造检查井 5000 座。</w:t>
            </w:r>
          </w:p>
          <w:p>
            <w:pPr>
              <w:keepLines/>
              <w:adjustRightInd w:val="0"/>
              <w:snapToGrid w:val="0"/>
              <w:spacing w:line="360" w:lineRule="auto"/>
              <w:ind w:firstLine="482" w:firstLineChars="200"/>
              <w:rPr>
                <w:b/>
                <w:bCs/>
                <w:szCs w:val="24"/>
              </w:rPr>
            </w:pPr>
            <w:r>
              <w:rPr>
                <w:rFonts w:hint="eastAsia"/>
                <w:b/>
                <w:bCs/>
                <w:szCs w:val="24"/>
              </w:rPr>
              <w:t>2、</w:t>
            </w:r>
            <w:r>
              <w:rPr>
                <w:b/>
                <w:bCs/>
                <w:szCs w:val="24"/>
              </w:rPr>
              <w:t>环境</w:t>
            </w:r>
            <w:r>
              <w:rPr>
                <w:rFonts w:hint="eastAsia"/>
                <w:b/>
                <w:bCs/>
                <w:szCs w:val="24"/>
              </w:rPr>
              <w:t>质量现状评价结论</w:t>
            </w:r>
          </w:p>
          <w:p>
            <w:pPr>
              <w:keepLines/>
              <w:adjustRightInd w:val="0"/>
              <w:snapToGrid w:val="0"/>
              <w:spacing w:line="360" w:lineRule="auto"/>
              <w:ind w:firstLine="480" w:firstLineChars="200"/>
              <w:rPr>
                <w:szCs w:val="24"/>
              </w:rPr>
            </w:pPr>
            <w:r>
              <w:rPr>
                <w:rFonts w:hint="eastAsia"/>
              </w:rPr>
              <w:t>（1）</w:t>
            </w:r>
            <w:r>
              <w:rPr>
                <w:szCs w:val="24"/>
              </w:rPr>
              <w:t>项目所在地大气环境质量能够满足《环境空气质量标准》（GB3095-2012）二级标准要求</w:t>
            </w:r>
            <w:r>
              <w:rPr>
                <w:rFonts w:hint="eastAsia"/>
                <w:szCs w:val="24"/>
              </w:rPr>
              <w:t>。</w:t>
            </w:r>
          </w:p>
          <w:p>
            <w:pPr>
              <w:keepLines/>
              <w:adjustRightInd w:val="0"/>
              <w:snapToGrid w:val="0"/>
              <w:spacing w:line="360" w:lineRule="auto"/>
              <w:ind w:firstLine="480" w:firstLineChars="200"/>
              <w:rPr>
                <w:szCs w:val="24"/>
              </w:rPr>
            </w:pPr>
            <w:r>
              <w:rPr>
                <w:rFonts w:hint="eastAsia"/>
                <w:snapToGrid w:val="0"/>
                <w:kern w:val="0"/>
              </w:rPr>
              <w:t>（2）</w:t>
            </w:r>
            <w:r>
              <w:rPr>
                <w:szCs w:val="24"/>
              </w:rPr>
              <w:t>项目所在区域内的地表水水质</w:t>
            </w:r>
            <w:r>
              <w:rPr>
                <w:rFonts w:hint="eastAsia"/>
                <w:szCs w:val="24"/>
              </w:rPr>
              <w:t>未</w:t>
            </w:r>
            <w:r>
              <w:rPr>
                <w:szCs w:val="24"/>
              </w:rPr>
              <w:t>能满足《地表水环境质量标准》（GB3838-2002）中的</w:t>
            </w:r>
            <w:r>
              <w:rPr>
                <w:rFonts w:hint="eastAsia"/>
                <w:szCs w:val="24"/>
              </w:rPr>
              <w:t>Ⅱ</w:t>
            </w:r>
            <w:r>
              <w:rPr>
                <w:szCs w:val="24"/>
              </w:rPr>
              <w:t xml:space="preserve">类水体标准要求。        </w:t>
            </w:r>
          </w:p>
          <w:p>
            <w:pPr>
              <w:keepLines/>
              <w:adjustRightInd w:val="0"/>
              <w:snapToGrid w:val="0"/>
              <w:spacing w:line="360" w:lineRule="auto"/>
              <w:ind w:firstLine="480" w:firstLineChars="200"/>
              <w:rPr>
                <w:b/>
                <w:szCs w:val="24"/>
              </w:rPr>
            </w:pPr>
            <w:r>
              <w:rPr>
                <w:rFonts w:hint="eastAsia"/>
                <w:snapToGrid w:val="0"/>
                <w:kern w:val="0"/>
              </w:rPr>
              <w:t>（3）</w:t>
            </w:r>
            <w:r>
              <w:rPr>
                <w:szCs w:val="24"/>
              </w:rPr>
              <w:t>本项目</w:t>
            </w:r>
            <w:r>
              <w:rPr>
                <w:rFonts w:hint="eastAsia"/>
                <w:szCs w:val="24"/>
              </w:rPr>
              <w:t>所在区域内的</w:t>
            </w:r>
            <w:r>
              <w:rPr>
                <w:szCs w:val="24"/>
              </w:rPr>
              <w:t>声环境</w:t>
            </w:r>
            <w:r>
              <w:rPr>
                <w:rFonts w:hint="eastAsia"/>
                <w:szCs w:val="24"/>
              </w:rPr>
              <w:t>质量能</w:t>
            </w:r>
            <w:r>
              <w:rPr>
                <w:szCs w:val="24"/>
              </w:rPr>
              <w:t>够达到《声环境质量标准》（GB3096-2008）中</w:t>
            </w:r>
            <w:r>
              <w:rPr>
                <w:rFonts w:hint="eastAsia"/>
                <w:szCs w:val="24"/>
              </w:rPr>
              <w:t>2</w:t>
            </w:r>
            <w:r>
              <w:rPr>
                <w:szCs w:val="24"/>
              </w:rPr>
              <w:t>类标准要求。</w:t>
            </w:r>
          </w:p>
          <w:p>
            <w:pPr>
              <w:adjustRightInd w:val="0"/>
              <w:snapToGrid w:val="0"/>
              <w:spacing w:line="360" w:lineRule="auto"/>
              <w:ind w:firstLine="482" w:firstLineChars="200"/>
              <w:rPr>
                <w:b/>
                <w:szCs w:val="24"/>
              </w:rPr>
            </w:pPr>
            <w:r>
              <w:rPr>
                <w:rFonts w:hint="eastAsia"/>
                <w:b/>
                <w:szCs w:val="24"/>
              </w:rPr>
              <w:t>3、</w:t>
            </w:r>
            <w:r>
              <w:rPr>
                <w:b/>
                <w:szCs w:val="24"/>
              </w:rPr>
              <w:t>环境影响评价结论</w:t>
            </w:r>
          </w:p>
          <w:p>
            <w:pPr>
              <w:adjustRightInd w:val="0"/>
              <w:snapToGrid w:val="0"/>
              <w:spacing w:line="360" w:lineRule="auto"/>
              <w:ind w:firstLine="482" w:firstLineChars="200"/>
              <w:rPr>
                <w:b/>
              </w:rPr>
            </w:pPr>
            <w:r>
              <w:rPr>
                <w:rFonts w:hint="eastAsia"/>
                <w:b/>
              </w:rPr>
              <w:t>（1）施工期</w:t>
            </w:r>
            <w:r>
              <w:rPr>
                <w:b/>
              </w:rPr>
              <w:t>影响评价结论</w:t>
            </w:r>
          </w:p>
          <w:p>
            <w:pPr>
              <w:keepLines/>
              <w:adjustRightInd w:val="0"/>
              <w:snapToGrid w:val="0"/>
              <w:spacing w:line="360" w:lineRule="auto"/>
              <w:ind w:firstLine="480" w:firstLineChars="200"/>
            </w:pPr>
            <w:r>
              <w:t>①废水</w:t>
            </w:r>
          </w:p>
          <w:p>
            <w:pPr>
              <w:keepLines/>
              <w:adjustRightInd w:val="0"/>
              <w:snapToGrid w:val="0"/>
              <w:spacing w:line="360" w:lineRule="auto"/>
              <w:ind w:firstLine="480" w:firstLineChars="200"/>
            </w:pPr>
            <w:r>
              <w:t>项目</w:t>
            </w:r>
            <w:r>
              <w:rPr>
                <w:rFonts w:hint="eastAsia"/>
              </w:rPr>
              <w:t>施工过程产生的施工废水、基坑排水及生活废水经临时沉淀池处理后回用于项目施工过程和洒水降尘。项目废水不外排，对周围地表水环境产生的影响较小。</w:t>
            </w:r>
          </w:p>
          <w:p>
            <w:pPr>
              <w:keepLines/>
              <w:adjustRightInd w:val="0"/>
              <w:snapToGrid w:val="0"/>
              <w:spacing w:line="360" w:lineRule="auto"/>
              <w:ind w:firstLine="480" w:firstLineChars="200"/>
              <w:rPr>
                <w:snapToGrid w:val="0"/>
                <w:kern w:val="0"/>
              </w:rPr>
            </w:pPr>
            <w:r>
              <w:rPr>
                <w:snapToGrid w:val="0"/>
                <w:kern w:val="0"/>
              </w:rPr>
              <w:t>②废气</w:t>
            </w:r>
          </w:p>
          <w:p>
            <w:pPr>
              <w:keepLines/>
              <w:adjustRightInd w:val="0"/>
              <w:snapToGrid w:val="0"/>
              <w:spacing w:line="360" w:lineRule="auto"/>
              <w:ind w:firstLine="480" w:firstLineChars="200"/>
              <w:rPr>
                <w:snapToGrid w:val="0"/>
                <w:kern w:val="0"/>
              </w:rPr>
            </w:pPr>
            <w:r>
              <w:rPr>
                <w:snapToGrid w:val="0"/>
                <w:kern w:val="0"/>
              </w:rPr>
              <w:t>项目</w:t>
            </w:r>
            <w:r>
              <w:rPr>
                <w:rFonts w:hint="eastAsia"/>
                <w:snapToGrid w:val="0"/>
                <w:kern w:val="0"/>
              </w:rPr>
              <w:t>施工过程产生的扬尘经过洒水降尘和施工管理措施后，排放浓度</w:t>
            </w:r>
            <w:r>
              <w:t>能够达到《大气污染物综合排放标准》(GB16297-1996)中</w:t>
            </w:r>
            <w:r>
              <w:rPr>
                <w:rFonts w:hint="eastAsia"/>
              </w:rPr>
              <w:t>无组织</w:t>
            </w:r>
            <w:r>
              <w:t>排放监控</w:t>
            </w:r>
            <w:r>
              <w:rPr>
                <w:rFonts w:hint="eastAsia"/>
              </w:rPr>
              <w:t>浓度限值的要求；施工机械燃油废气和焊接废气经过周围山体植被的净化吸收后，</w:t>
            </w:r>
            <w:r>
              <w:t>对周围</w:t>
            </w:r>
            <w:r>
              <w:rPr>
                <w:rFonts w:hint="eastAsia"/>
              </w:rPr>
              <w:t>大气</w:t>
            </w:r>
            <w:r>
              <w:t>环境产生影响</w:t>
            </w:r>
            <w:r>
              <w:rPr>
                <w:rFonts w:hint="eastAsia"/>
              </w:rPr>
              <w:t>较小</w:t>
            </w:r>
            <w:r>
              <w:t>。</w:t>
            </w:r>
          </w:p>
          <w:p>
            <w:pPr>
              <w:keepLines/>
              <w:adjustRightInd w:val="0"/>
              <w:snapToGrid w:val="0"/>
              <w:spacing w:line="360" w:lineRule="auto"/>
              <w:ind w:firstLine="480" w:firstLineChars="200"/>
              <w:rPr>
                <w:snapToGrid w:val="0"/>
                <w:kern w:val="0"/>
              </w:rPr>
            </w:pPr>
            <w:r>
              <w:rPr>
                <w:snapToGrid w:val="0"/>
                <w:kern w:val="0"/>
              </w:rPr>
              <w:t>③噪声</w:t>
            </w:r>
          </w:p>
          <w:p>
            <w:pPr>
              <w:keepLines/>
              <w:adjustRightInd w:val="0"/>
              <w:snapToGrid w:val="0"/>
              <w:spacing w:line="360" w:lineRule="auto"/>
              <w:ind w:firstLine="480" w:firstLineChars="200"/>
              <w:rPr>
                <w:szCs w:val="24"/>
              </w:rPr>
            </w:pPr>
            <w:r>
              <w:rPr>
                <w:szCs w:val="24"/>
              </w:rPr>
              <w:t>项目</w:t>
            </w:r>
            <w:r>
              <w:rPr>
                <w:rFonts w:hint="eastAsia"/>
                <w:szCs w:val="24"/>
              </w:rPr>
              <w:t>施工期机械设备、交通运输等产生的噪声通过合理安排施工时间，禁止在夜间施工等管理措施、山体的吸收和距离衰减等措施后</w:t>
            </w:r>
            <w:r>
              <w:rPr>
                <w:szCs w:val="24"/>
              </w:rPr>
              <w:t>，</w:t>
            </w:r>
            <w:r>
              <w:rPr>
                <w:rFonts w:hint="eastAsia"/>
                <w:szCs w:val="24"/>
              </w:rPr>
              <w:t>项目施工期的噪声</w:t>
            </w:r>
            <w:r>
              <w:rPr>
                <w:szCs w:val="24"/>
              </w:rPr>
              <w:t>能达到《</w:t>
            </w:r>
            <w:r>
              <w:rPr>
                <w:szCs w:val="24"/>
                <w:lang w:val="zh-CN"/>
              </w:rPr>
              <w:t>建筑施工场界环境噪声排放标准</w:t>
            </w:r>
            <w:r>
              <w:rPr>
                <w:szCs w:val="24"/>
              </w:rPr>
              <w:t>》（</w:t>
            </w:r>
            <w:r>
              <w:rPr>
                <w:szCs w:val="24"/>
                <w:lang w:val="zh-CN"/>
              </w:rPr>
              <w:t>GB 12523-2011</w:t>
            </w:r>
            <w:r>
              <w:rPr>
                <w:rFonts w:hint="eastAsia"/>
                <w:szCs w:val="24"/>
                <w:lang w:val="zh-CN"/>
              </w:rPr>
              <w:t>）</w:t>
            </w:r>
            <w:r>
              <w:rPr>
                <w:szCs w:val="24"/>
              </w:rPr>
              <w:t>的要求，</w:t>
            </w:r>
            <w:r>
              <w:rPr>
                <w:rFonts w:hint="eastAsia"/>
                <w:szCs w:val="24"/>
              </w:rPr>
              <w:t>对项目附近的环境敏感目标产生的影响较小</w:t>
            </w:r>
            <w:r>
              <w:rPr>
                <w:szCs w:val="24"/>
              </w:rPr>
              <w:t>。</w:t>
            </w:r>
          </w:p>
          <w:p>
            <w:pPr>
              <w:keepLines/>
              <w:adjustRightInd w:val="0"/>
              <w:snapToGrid w:val="0"/>
              <w:spacing w:line="360" w:lineRule="auto"/>
              <w:ind w:firstLine="480" w:firstLineChars="200"/>
            </w:pPr>
            <w:r>
              <w:t>④固废</w:t>
            </w:r>
          </w:p>
          <w:p>
            <w:pPr>
              <w:adjustRightInd w:val="0"/>
              <w:snapToGrid w:val="0"/>
              <w:spacing w:line="360" w:lineRule="auto"/>
              <w:ind w:firstLine="472" w:firstLineChars="200"/>
              <w:rPr>
                <w:szCs w:val="24"/>
              </w:rPr>
            </w:pPr>
            <w:r>
              <w:rPr>
                <w:rFonts w:hint="eastAsia"/>
                <w:spacing w:val="-2"/>
                <w:szCs w:val="24"/>
              </w:rPr>
              <w:t>项目施工期</w:t>
            </w:r>
            <w:r>
              <w:rPr>
                <w:rFonts w:hint="eastAsia"/>
                <w:szCs w:val="24"/>
              </w:rPr>
              <w:t>剥离产生的表土采用编织袋袋堆放于施工区内，后期用于绿化覆土，开挖产生土石方全部进行场地回填利用；弃渣统一收集后</w:t>
            </w:r>
            <w:r>
              <w:rPr>
                <w:rFonts w:hint="eastAsia"/>
                <w:spacing w:val="-2"/>
                <w:szCs w:val="24"/>
              </w:rPr>
              <w:t>清运到管理部门指定的地点处置；施工垃圾能回收利用的尽量回收利用，回用不了的清运到管理部门指定的地点处置；</w:t>
            </w:r>
            <w:r>
              <w:rPr>
                <w:szCs w:val="24"/>
              </w:rPr>
              <w:t>生活垃圾</w:t>
            </w:r>
            <w:r>
              <w:rPr>
                <w:rFonts w:hint="eastAsia"/>
                <w:szCs w:val="24"/>
              </w:rPr>
              <w:t>委</w:t>
            </w:r>
            <w:r>
              <w:rPr>
                <w:szCs w:val="24"/>
              </w:rPr>
              <w:t>环卫部门定期清运</w:t>
            </w:r>
            <w:r>
              <w:rPr>
                <w:rFonts w:hint="eastAsia"/>
                <w:szCs w:val="24"/>
              </w:rPr>
              <w:t>处置</w:t>
            </w:r>
            <w:r>
              <w:rPr>
                <w:szCs w:val="24"/>
              </w:rPr>
              <w:t>。</w:t>
            </w:r>
          </w:p>
          <w:p>
            <w:pPr>
              <w:adjustRightInd w:val="0"/>
              <w:snapToGrid w:val="0"/>
              <w:spacing w:line="360" w:lineRule="auto"/>
              <w:ind w:firstLine="480" w:firstLineChars="200"/>
              <w:rPr>
                <w:snapToGrid w:val="0"/>
                <w:kern w:val="0"/>
              </w:rPr>
            </w:pPr>
            <w:r>
              <w:rPr>
                <w:rFonts w:hint="eastAsia"/>
                <w:szCs w:val="24"/>
              </w:rPr>
              <w:t>因此，项目</w:t>
            </w:r>
            <w:r>
              <w:rPr>
                <w:rFonts w:hint="eastAsia"/>
                <w:snapToGrid w:val="0"/>
                <w:kern w:val="0"/>
              </w:rPr>
              <w:t>固体废物合理</w:t>
            </w:r>
            <w:r>
              <w:rPr>
                <w:snapToGrid w:val="0"/>
                <w:kern w:val="0"/>
              </w:rPr>
              <w:t>分类收集</w:t>
            </w:r>
            <w:r>
              <w:rPr>
                <w:rFonts w:hint="eastAsia"/>
                <w:snapToGrid w:val="0"/>
                <w:kern w:val="0"/>
              </w:rPr>
              <w:t>处置</w:t>
            </w:r>
            <w:r>
              <w:rPr>
                <w:snapToGrid w:val="0"/>
                <w:kern w:val="0"/>
              </w:rPr>
              <w:t>，</w:t>
            </w:r>
            <w:r>
              <w:rPr>
                <w:rFonts w:hint="eastAsia"/>
                <w:snapToGrid w:val="0"/>
                <w:kern w:val="0"/>
              </w:rPr>
              <w:t>处置率为100%</w:t>
            </w:r>
            <w:r>
              <w:rPr>
                <w:snapToGrid w:val="0"/>
                <w:kern w:val="0"/>
              </w:rPr>
              <w:t>，对当</w:t>
            </w:r>
            <w:r>
              <w:rPr>
                <w:rFonts w:hint="eastAsia"/>
                <w:snapToGrid w:val="0"/>
                <w:kern w:val="0"/>
              </w:rPr>
              <w:t>周围</w:t>
            </w:r>
            <w:r>
              <w:rPr>
                <w:snapToGrid w:val="0"/>
                <w:kern w:val="0"/>
              </w:rPr>
              <w:t>环境质量产生的影响</w:t>
            </w:r>
            <w:r>
              <w:rPr>
                <w:rFonts w:hint="eastAsia"/>
                <w:snapToGrid w:val="0"/>
                <w:kern w:val="0"/>
              </w:rPr>
              <w:t>较小</w:t>
            </w:r>
            <w:r>
              <w:rPr>
                <w:snapToGrid w:val="0"/>
                <w:kern w:val="0"/>
              </w:rPr>
              <w:t>。</w:t>
            </w:r>
          </w:p>
          <w:p>
            <w:pPr>
              <w:adjustRightInd w:val="0"/>
              <w:snapToGrid w:val="0"/>
              <w:spacing w:line="360" w:lineRule="auto"/>
              <w:ind w:firstLine="482" w:firstLineChars="200"/>
              <w:rPr>
                <w:b/>
              </w:rPr>
            </w:pPr>
            <w:r>
              <w:rPr>
                <w:rFonts w:hint="eastAsia"/>
                <w:b/>
              </w:rPr>
              <w:t>（2）</w:t>
            </w:r>
            <w:r>
              <w:rPr>
                <w:b/>
              </w:rPr>
              <w:t>运营期环境影响评价结论</w:t>
            </w:r>
          </w:p>
          <w:p>
            <w:pPr>
              <w:adjustRightInd w:val="0"/>
              <w:snapToGrid w:val="0"/>
              <w:spacing w:line="360" w:lineRule="auto"/>
              <w:ind w:firstLine="360" w:firstLineChars="150"/>
              <w:jc w:val="left"/>
            </w:pPr>
            <w:r>
              <w:rPr>
                <w:rFonts w:hint="eastAsia"/>
              </w:rPr>
              <w:t>①大气环境</w:t>
            </w:r>
          </w:p>
          <w:p>
            <w:pPr>
              <w:adjustRightInd w:val="0"/>
              <w:snapToGrid w:val="0"/>
              <w:spacing w:line="360" w:lineRule="auto"/>
              <w:ind w:firstLine="480"/>
            </w:pPr>
            <w:r>
              <w:rPr>
                <w:rFonts w:hint="eastAsia"/>
              </w:rPr>
              <w:t>本项目邓川、右所污水处理厂均采用的CWT</w:t>
            </w:r>
            <w:r>
              <w:rPr>
                <w:rFonts w:hAnsi="宋体"/>
              </w:rPr>
              <w:t>一体化工艺</w:t>
            </w:r>
            <w:r>
              <w:rPr>
                <w:rFonts w:hint="eastAsia" w:hAnsi="宋体"/>
              </w:rPr>
              <w:t>，产生的臭气影响较传统的生化处理工艺小，根据目前洱海流域内原有同类污水处理站运行的情况，污水站周围无明显异味。根据预测分析，三座污水处理厂的主要恶臭污染物也均能够能到相关标准的要求，</w:t>
            </w:r>
            <w:r>
              <w:rPr>
                <w:rFonts w:hint="eastAsia"/>
              </w:rPr>
              <w:t>且根据现场踏勘调查，项目污水处理厂内臭气对人体的直接感官刺激基本不明显。三座污水处理厂臭气对周围保护目标的总体影响不大。</w:t>
            </w:r>
          </w:p>
          <w:p>
            <w:pPr>
              <w:adjustRightInd w:val="0"/>
              <w:snapToGrid w:val="0"/>
              <w:spacing w:line="360" w:lineRule="auto"/>
              <w:ind w:firstLine="482"/>
            </w:pPr>
            <w:r>
              <w:rPr>
                <w:rFonts w:hint="eastAsia"/>
              </w:rPr>
              <w:t>但牛街厂与最近村民的距离较近，因此，项目运营过程中，应定期做好与附近村民的调查访问工作，及时了解本项目对周围环境的影响程度，根据村民的建议与意见采取有效的改进措施，如有必要，应将牛街污水厂污水处理单元的无组织排放的臭气通过密封收集处理后改为以有组织的形式排放。</w:t>
            </w:r>
          </w:p>
          <w:p>
            <w:pPr>
              <w:adjustRightInd w:val="0"/>
              <w:snapToGrid w:val="0"/>
              <w:spacing w:line="360" w:lineRule="auto"/>
              <w:ind w:firstLine="480" w:firstLineChars="200"/>
              <w:rPr>
                <w:szCs w:val="24"/>
              </w:rPr>
            </w:pPr>
            <w:r>
              <w:rPr>
                <w:rFonts w:hint="eastAsia"/>
                <w:szCs w:val="24"/>
              </w:rPr>
              <w:t>②地表水环境</w:t>
            </w:r>
          </w:p>
          <w:p>
            <w:pPr>
              <w:adjustRightInd w:val="0"/>
              <w:snapToGrid w:val="0"/>
              <w:spacing w:line="360" w:lineRule="auto"/>
              <w:ind w:firstLine="480" w:firstLineChars="200"/>
              <w:rPr>
                <w:b/>
                <w:szCs w:val="24"/>
              </w:rPr>
            </w:pPr>
            <w:r>
              <w:rPr>
                <w:szCs w:val="24"/>
              </w:rPr>
              <w:t>本项目</w:t>
            </w:r>
            <w:r>
              <w:rPr>
                <w:rFonts w:hint="eastAsia"/>
                <w:szCs w:val="24"/>
              </w:rPr>
              <w:t>为污水集中收集处理工程，</w:t>
            </w:r>
            <w:r>
              <w:rPr>
                <w:szCs w:val="24"/>
              </w:rPr>
              <w:t>运营期过程中不产生生产废水</w:t>
            </w:r>
            <w:r>
              <w:rPr>
                <w:rFonts w:hint="eastAsia"/>
                <w:szCs w:val="24"/>
              </w:rPr>
              <w:t>。污水处理厂污水</w:t>
            </w:r>
            <w:r>
              <w:rPr>
                <w:rFonts w:hint="eastAsia"/>
              </w:rPr>
              <w:t>经处理达标后，排入人工湿地，</w:t>
            </w:r>
            <w:r>
              <w:rPr>
                <w:rFonts w:hint="eastAsia"/>
                <w:bCs/>
              </w:rPr>
              <w:t>不会对周围环境造成较大的影响。</w:t>
            </w:r>
          </w:p>
          <w:p>
            <w:pPr>
              <w:adjustRightInd w:val="0"/>
              <w:snapToGrid w:val="0"/>
              <w:spacing w:line="360" w:lineRule="auto"/>
              <w:ind w:firstLine="480" w:firstLineChars="200"/>
              <w:rPr>
                <w:szCs w:val="24"/>
              </w:rPr>
            </w:pPr>
            <w:r>
              <w:rPr>
                <w:rFonts w:hint="eastAsia"/>
                <w:szCs w:val="24"/>
              </w:rPr>
              <w:t>③声环境</w:t>
            </w:r>
          </w:p>
          <w:p>
            <w:pPr>
              <w:pStyle w:val="36"/>
              <w:adjustRightInd w:val="0"/>
              <w:snapToGrid w:val="0"/>
              <w:spacing w:after="0" w:line="360" w:lineRule="auto"/>
              <w:ind w:firstLine="480" w:firstLineChars="200"/>
              <w:rPr>
                <w:sz w:val="24"/>
                <w:szCs w:val="24"/>
              </w:rPr>
            </w:pPr>
            <w:r>
              <w:rPr>
                <w:sz w:val="24"/>
                <w:szCs w:val="24"/>
              </w:rPr>
              <w:t>项目运营期</w:t>
            </w:r>
            <w:r>
              <w:rPr>
                <w:rFonts w:hint="eastAsia"/>
                <w:sz w:val="24"/>
                <w:szCs w:val="24"/>
              </w:rPr>
              <w:t>三座污水处理设备产生的噪声通过基础减震、构筑物隔声及</w:t>
            </w:r>
            <w:r>
              <w:rPr>
                <w:sz w:val="24"/>
                <w:szCs w:val="24"/>
              </w:rPr>
              <w:t>距离衰减</w:t>
            </w:r>
            <w:r>
              <w:rPr>
                <w:rFonts w:hint="eastAsia"/>
                <w:sz w:val="24"/>
                <w:szCs w:val="24"/>
              </w:rPr>
              <w:t>后</w:t>
            </w:r>
            <w:r>
              <w:rPr>
                <w:sz w:val="24"/>
                <w:szCs w:val="24"/>
              </w:rPr>
              <w:t>，</w:t>
            </w:r>
            <w:r>
              <w:rPr>
                <w:rFonts w:hint="eastAsia"/>
                <w:sz w:val="24"/>
                <w:szCs w:val="24"/>
              </w:rPr>
              <w:t>均</w:t>
            </w:r>
            <w:r>
              <w:rPr>
                <w:sz w:val="24"/>
                <w:szCs w:val="24"/>
              </w:rPr>
              <w:t>能达到《工业企业厂界噪声排放标准》（GB12348-2008）</w:t>
            </w:r>
            <w:r>
              <w:rPr>
                <w:rFonts w:hint="eastAsia"/>
                <w:sz w:val="24"/>
                <w:szCs w:val="24"/>
              </w:rPr>
              <w:t>2</w:t>
            </w:r>
            <w:r>
              <w:rPr>
                <w:sz w:val="24"/>
                <w:szCs w:val="24"/>
              </w:rPr>
              <w:t>类标准昼</w:t>
            </w:r>
            <w:r>
              <w:rPr>
                <w:rFonts w:hint="eastAsia"/>
                <w:sz w:val="24"/>
                <w:szCs w:val="24"/>
              </w:rPr>
              <w:t>、夜</w:t>
            </w:r>
            <w:r>
              <w:rPr>
                <w:sz w:val="24"/>
                <w:szCs w:val="24"/>
              </w:rPr>
              <w:t>间标准的要求</w:t>
            </w:r>
            <w:r>
              <w:rPr>
                <w:rFonts w:hint="eastAsia"/>
                <w:sz w:val="24"/>
                <w:szCs w:val="24"/>
              </w:rPr>
              <w:t>。但由于牛街污水厂局北面的居民较近，环评提出了相关治理措施，尽可能的减轻夜间噪声对</w:t>
            </w:r>
            <w:r>
              <w:rPr>
                <w:sz w:val="24"/>
                <w:szCs w:val="24"/>
              </w:rPr>
              <w:t>周边</w:t>
            </w:r>
            <w:r>
              <w:rPr>
                <w:rFonts w:hint="eastAsia"/>
                <w:sz w:val="24"/>
                <w:szCs w:val="24"/>
              </w:rPr>
              <w:t>村民</w:t>
            </w:r>
            <w:r>
              <w:rPr>
                <w:rFonts w:hint="eastAsia"/>
                <w:bCs/>
                <w:sz w:val="24"/>
              </w:rPr>
              <w:t>的影响。</w:t>
            </w:r>
          </w:p>
          <w:p>
            <w:pPr>
              <w:adjustRightInd w:val="0"/>
              <w:snapToGrid w:val="0"/>
              <w:spacing w:line="360" w:lineRule="auto"/>
              <w:ind w:firstLine="480" w:firstLineChars="200"/>
              <w:rPr>
                <w:bCs/>
                <w:szCs w:val="24"/>
              </w:rPr>
            </w:pPr>
            <w:r>
              <w:rPr>
                <w:rFonts w:hint="eastAsia"/>
                <w:bCs/>
                <w:szCs w:val="24"/>
              </w:rPr>
              <w:t>④</w:t>
            </w:r>
            <w:r>
              <w:rPr>
                <w:bCs/>
                <w:szCs w:val="24"/>
              </w:rPr>
              <w:t>固体废物</w:t>
            </w:r>
          </w:p>
          <w:p>
            <w:pPr>
              <w:adjustRightInd w:val="0"/>
              <w:snapToGrid w:val="0"/>
              <w:spacing w:line="360" w:lineRule="auto"/>
              <w:ind w:firstLine="480" w:firstLineChars="200"/>
              <w:rPr>
                <w:szCs w:val="24"/>
              </w:rPr>
            </w:pPr>
            <w:r>
              <w:rPr>
                <w:rFonts w:hint="eastAsia"/>
                <w:szCs w:val="24"/>
              </w:rPr>
              <w:t>项目运营期污水处理厂产生的污泥一部分回流至污水处理过程，剩余污泥脱水处理满足</w:t>
            </w:r>
            <w:r>
              <w:rPr>
                <w:rFonts w:hint="eastAsia"/>
                <w:bCs/>
              </w:rPr>
              <w:t>《城镇污水处理厂污染物排放标准》（GB18918-2002）表5的规定要求，脱水后的泥饼委托环卫部门清运至洱源县垃圾填埋场处置；格栅渣、生活垃圾均属于一般固体废物，收集后清运至洱源县垃圾填埋场处置；废机油属于危险废物，</w:t>
            </w:r>
            <w:r>
              <w:t>采用专用收集桶进行收集，暂存于危废间，委托</w:t>
            </w:r>
            <w:r>
              <w:rPr>
                <w:rFonts w:hint="eastAsia"/>
              </w:rPr>
              <w:t>有危险废物处置资质的单位</w:t>
            </w:r>
            <w:r>
              <w:t>进行处置。</w:t>
            </w:r>
            <w:r>
              <w:rPr>
                <w:rFonts w:hint="eastAsia"/>
                <w:szCs w:val="24"/>
              </w:rPr>
              <w:t>因此</w:t>
            </w:r>
            <w:r>
              <w:rPr>
                <w:szCs w:val="24"/>
              </w:rPr>
              <w:t>，不会对环境造成</w:t>
            </w:r>
            <w:r>
              <w:rPr>
                <w:rFonts w:hint="eastAsia"/>
                <w:szCs w:val="24"/>
              </w:rPr>
              <w:t>较大的</w:t>
            </w:r>
            <w:r>
              <w:rPr>
                <w:szCs w:val="24"/>
              </w:rPr>
              <w:t>影响。</w:t>
            </w:r>
          </w:p>
          <w:p>
            <w:pPr>
              <w:pStyle w:val="23"/>
              <w:adjustRightInd w:val="0"/>
              <w:spacing w:line="360" w:lineRule="auto"/>
              <w:ind w:firstLine="480" w:firstLineChars="200"/>
              <w:rPr>
                <w:sz w:val="24"/>
              </w:rPr>
            </w:pPr>
            <w:r>
              <w:rPr>
                <w:rFonts w:hint="eastAsia"/>
                <w:sz w:val="24"/>
              </w:rPr>
              <w:t>⑤地下水和土壤环境</w:t>
            </w:r>
          </w:p>
          <w:p>
            <w:pPr>
              <w:pStyle w:val="23"/>
              <w:adjustRightInd w:val="0"/>
              <w:spacing w:line="360" w:lineRule="auto"/>
              <w:ind w:firstLine="480" w:firstLineChars="200"/>
              <w:rPr>
                <w:sz w:val="24"/>
              </w:rPr>
            </w:pPr>
            <w:r>
              <w:rPr>
                <w:rFonts w:hint="eastAsia"/>
                <w:sz w:val="24"/>
              </w:rPr>
              <w:t>项目严格按工程技术设计要求进行建设，做好防渗工作，杜绝“跑、冒、滴、 漏”。建设单位在严格采取“源头控制、分区防治、污染监控、应急响应”相结合的地下水污染防治措施的前提下，本项目对地下水的影响较小。</w:t>
            </w:r>
          </w:p>
          <w:p>
            <w:pPr>
              <w:pStyle w:val="23"/>
              <w:adjustRightInd w:val="0"/>
              <w:spacing w:line="360" w:lineRule="auto"/>
              <w:ind w:firstLine="480" w:firstLineChars="200"/>
              <w:rPr>
                <w:sz w:val="24"/>
              </w:rPr>
            </w:pPr>
            <w:r>
              <w:rPr>
                <w:rFonts w:hint="eastAsia"/>
                <w:sz w:val="24"/>
              </w:rPr>
              <w:t>⑥</w:t>
            </w:r>
            <w:r>
              <w:rPr>
                <w:sz w:val="24"/>
              </w:rPr>
              <w:t>环境风险评价结论</w:t>
            </w:r>
          </w:p>
          <w:p>
            <w:pPr>
              <w:pStyle w:val="23"/>
              <w:adjustRightInd w:val="0"/>
              <w:spacing w:line="360" w:lineRule="auto"/>
              <w:rPr>
                <w:sz w:val="24"/>
              </w:rPr>
            </w:pPr>
            <w:r>
              <w:rPr>
                <w:sz w:val="24"/>
              </w:rPr>
              <w:t xml:space="preserve">  </w:t>
            </w:r>
            <w:r>
              <w:rPr>
                <w:rFonts w:hint="eastAsia"/>
                <w:sz w:val="24"/>
              </w:rPr>
              <w:t xml:space="preserve"> </w:t>
            </w:r>
            <w:r>
              <w:rPr>
                <w:sz w:val="24"/>
              </w:rPr>
              <w:t>本项目</w:t>
            </w:r>
            <w:r>
              <w:rPr>
                <w:rFonts w:hint="eastAsia"/>
                <w:sz w:val="24"/>
              </w:rPr>
              <w:t>涉及的环境风险物质为次氯酸钠，但不构成重大危险源</w:t>
            </w:r>
            <w:r>
              <w:rPr>
                <w:sz w:val="24"/>
              </w:rPr>
              <w:t>。</w:t>
            </w:r>
            <w:r>
              <w:rPr>
                <w:rFonts w:hint="eastAsia"/>
                <w:sz w:val="24"/>
              </w:rPr>
              <w:t>项目污水处理设施采用先进</w:t>
            </w:r>
            <w:r>
              <w:rPr>
                <w:sz w:val="24"/>
              </w:rPr>
              <w:t>的</w:t>
            </w:r>
            <w:r>
              <w:rPr>
                <w:rFonts w:hint="eastAsia"/>
                <w:sz w:val="24"/>
                <w:shd w:val="clear" w:color="auto" w:fill="FFFFFF"/>
              </w:rPr>
              <w:t>CTW一体化</w:t>
            </w:r>
            <w:r>
              <w:rPr>
                <w:sz w:val="24"/>
                <w:shd w:val="clear" w:color="auto" w:fill="FFFFFF"/>
              </w:rPr>
              <w:t>污水处理</w:t>
            </w:r>
            <w:r>
              <w:rPr>
                <w:rFonts w:hint="eastAsia"/>
                <w:sz w:val="24"/>
                <w:shd w:val="clear" w:color="auto" w:fill="FFFFFF"/>
              </w:rPr>
              <w:t>系统</w:t>
            </w:r>
            <w:r>
              <w:rPr>
                <w:sz w:val="24"/>
                <w:shd w:val="clear" w:color="auto" w:fill="FFFFFF"/>
              </w:rPr>
              <w:t>，</w:t>
            </w:r>
            <w:r>
              <w:rPr>
                <w:rFonts w:hint="eastAsia"/>
                <w:sz w:val="24"/>
                <w:shd w:val="clear" w:color="auto" w:fill="FFFFFF"/>
              </w:rPr>
              <w:t>目前已在洱海流域得到广泛使用，该工艺运行稳定，发生故障而导致事故排放的概率较低。因此，在做好环境风险防范措施的前提下，项目在的环境风险水平是可以接受的。</w:t>
            </w:r>
          </w:p>
          <w:p>
            <w:pPr>
              <w:adjustRightInd w:val="0"/>
              <w:snapToGrid w:val="0"/>
              <w:spacing w:line="360" w:lineRule="auto"/>
              <w:ind w:firstLine="482" w:firstLineChars="200"/>
              <w:rPr>
                <w:b/>
                <w:szCs w:val="24"/>
              </w:rPr>
            </w:pPr>
            <w:r>
              <w:rPr>
                <w:rFonts w:hint="eastAsia"/>
                <w:b/>
                <w:szCs w:val="24"/>
              </w:rPr>
              <w:t>4、</w:t>
            </w:r>
            <w:r>
              <w:rPr>
                <w:rFonts w:hint="eastAsia" w:hAnsi="宋体"/>
                <w:b/>
              </w:rPr>
              <w:t>项目与相关规划、条例的相符性分析结论</w:t>
            </w:r>
          </w:p>
          <w:p>
            <w:pPr>
              <w:adjustRightInd w:val="0"/>
              <w:snapToGrid w:val="0"/>
              <w:spacing w:line="360" w:lineRule="auto"/>
              <w:ind w:firstLine="482" w:firstLineChars="200"/>
              <w:rPr>
                <w:b/>
              </w:rPr>
            </w:pPr>
            <w:r>
              <w:rPr>
                <w:rFonts w:hint="eastAsia" w:hAnsi="宋体"/>
                <w:b/>
              </w:rPr>
              <w:t>（1）与《云南重点流域水污染防治规划》（2016~2020）</w:t>
            </w:r>
            <w:r>
              <w:rPr>
                <w:rFonts w:hint="eastAsia"/>
                <w:b/>
              </w:rPr>
              <w:t>的相符性分析结论</w:t>
            </w:r>
          </w:p>
          <w:p>
            <w:pPr>
              <w:adjustRightInd w:val="0"/>
              <w:snapToGrid w:val="0"/>
              <w:spacing w:line="360" w:lineRule="auto"/>
              <w:ind w:firstLine="480" w:firstLineChars="200"/>
              <w:rPr>
                <w:rFonts w:hAnsi="宋体"/>
                <w:b/>
              </w:rPr>
            </w:pPr>
            <w:r>
              <w:rPr>
                <w:rFonts w:hint="eastAsia" w:hAnsi="宋体"/>
                <w:bCs/>
              </w:rPr>
              <w:t>本项目为洱海流域污水集中收集处理工程</w:t>
            </w:r>
            <w:r>
              <w:rPr>
                <w:rFonts w:hint="eastAsia"/>
                <w:bCs/>
              </w:rPr>
              <w:t>，项目实施后，将未经有效收集处</w:t>
            </w:r>
            <w:r>
              <w:rPr>
                <w:rFonts w:hint="eastAsia"/>
              </w:rPr>
              <w:t>理的生活废水进行收集处理和利用，实现</w:t>
            </w:r>
            <w:r>
              <w:rPr>
                <w:rFonts w:hint="eastAsia" w:hAnsi="宋体"/>
                <w:bCs/>
              </w:rPr>
              <w:t>系统截污治污以及水资源统筹利用，优化洱海水生态调控。同时，建设完善污水管沟和排水系统，因地制宜建设农村污水处理设施，实现乡镇区生活污水处理设施基本全覆盖，完全符合该规划中的污染防治方向以及规划任务。因此，</w:t>
            </w:r>
            <w:r>
              <w:rPr>
                <w:rFonts w:hint="eastAsia"/>
              </w:rPr>
              <w:t>该项目的建设与</w:t>
            </w:r>
            <w:r>
              <w:rPr>
                <w:rFonts w:hint="eastAsia" w:hAnsi="宋体"/>
                <w:bCs/>
              </w:rPr>
              <w:t>《云南重点流域水污染防治规划》（2016~2020）的相关要求是相符的。</w:t>
            </w:r>
          </w:p>
          <w:p>
            <w:pPr>
              <w:adjustRightInd w:val="0"/>
              <w:snapToGrid w:val="0"/>
              <w:spacing w:line="360" w:lineRule="auto"/>
              <w:ind w:firstLine="482" w:firstLineChars="200"/>
              <w:rPr>
                <w:b/>
              </w:rPr>
            </w:pPr>
            <w:r>
              <w:rPr>
                <w:rFonts w:hint="eastAsia" w:hAnsi="宋体"/>
                <w:b/>
              </w:rPr>
              <w:t>（2）与云南洱海流域水环境治理“十三五”规划</w:t>
            </w:r>
            <w:r>
              <w:rPr>
                <w:rFonts w:hint="eastAsia"/>
                <w:b/>
              </w:rPr>
              <w:t>的相符性分析结论</w:t>
            </w:r>
          </w:p>
          <w:p>
            <w:pPr>
              <w:adjustRightInd w:val="0"/>
              <w:snapToGrid w:val="0"/>
              <w:spacing w:line="360" w:lineRule="auto"/>
              <w:ind w:firstLine="480" w:firstLineChars="200"/>
              <w:rPr>
                <w:rFonts w:hAnsi="宋体"/>
              </w:rPr>
            </w:pPr>
            <w:r>
              <w:rPr>
                <w:rFonts w:hint="eastAsia"/>
              </w:rPr>
              <w:t>本项目为污水集中收集处理工程，将</w:t>
            </w:r>
            <w:r>
              <w:rPr>
                <w:rFonts w:hint="eastAsia" w:hAnsi="宋体"/>
              </w:rPr>
              <w:t>洱海流域茈碧湖镇、右所镇、牛街乡、三营镇、邓川镇的</w:t>
            </w:r>
            <w:r>
              <w:rPr>
                <w:rFonts w:hint="eastAsia"/>
              </w:rPr>
              <w:t>未经有效收集处理的生活废水进行收集处理。符合</w:t>
            </w:r>
            <w:r>
              <w:rPr>
                <w:rFonts w:hint="eastAsia" w:hAnsi="宋体"/>
              </w:rPr>
              <w:t>《云南洱海流域水环境治理“十三五”规划》中水污染防治重点任务以及流域污染源工程治理与控制体系构建方案的相关内容。</w:t>
            </w:r>
          </w:p>
          <w:p>
            <w:pPr>
              <w:adjustRightInd w:val="0"/>
              <w:snapToGrid w:val="0"/>
              <w:spacing w:line="360" w:lineRule="auto"/>
              <w:ind w:firstLine="361" w:firstLineChars="150"/>
              <w:rPr>
                <w:b/>
              </w:rPr>
            </w:pPr>
            <w:r>
              <w:rPr>
                <w:rFonts w:hint="eastAsia"/>
                <w:b/>
              </w:rPr>
              <w:t>（3）与《云南省大理白族自治州洱海管理条例（修订）》的相符性分析结论</w:t>
            </w:r>
          </w:p>
          <w:p>
            <w:pPr>
              <w:adjustRightInd w:val="0"/>
              <w:snapToGrid w:val="0"/>
              <w:spacing w:line="360" w:lineRule="auto"/>
              <w:ind w:firstLine="480" w:firstLineChars="200"/>
            </w:pPr>
            <w:r>
              <w:rPr>
                <w:rFonts w:hint="eastAsia"/>
              </w:rPr>
              <w:t>本项目建设区位于洱海流域径流区内，项目建设内容为污水处理厂提升改造、村镇生活污水管网修复及完善，项目在严格按照工程设计和环评提出的环境保护措施进行建设，项目实施后有效削减各污染物的排放，有利于洱海主要入湖河流的水污染防治和保护。因此，拟建项目与《云南省大理白族自治州洱海管理条例（修订）》是相符的。</w:t>
            </w:r>
          </w:p>
          <w:p>
            <w:pPr>
              <w:tabs>
                <w:tab w:val="left" w:pos="3615"/>
              </w:tabs>
              <w:adjustRightInd w:val="0"/>
              <w:snapToGrid w:val="0"/>
              <w:spacing w:line="360" w:lineRule="auto"/>
              <w:rPr>
                <w:b/>
                <w:bCs/>
                <w:szCs w:val="24"/>
              </w:rPr>
            </w:pPr>
            <w:r>
              <w:rPr>
                <w:rFonts w:hint="eastAsia"/>
                <w:b/>
                <w:bCs/>
                <w:szCs w:val="24"/>
              </w:rPr>
              <w:t xml:space="preserve">  （4）与《洱源县总体规划》（2012~2030）的相符性分析结论</w:t>
            </w:r>
          </w:p>
          <w:p>
            <w:pPr>
              <w:adjustRightInd w:val="0"/>
              <w:snapToGrid w:val="0"/>
              <w:spacing w:line="360" w:lineRule="auto"/>
              <w:ind w:firstLine="480" w:firstLineChars="200"/>
              <w:rPr>
                <w:szCs w:val="24"/>
              </w:rPr>
            </w:pPr>
            <w:r>
              <w:rPr>
                <w:rFonts w:hint="eastAsia"/>
              </w:rPr>
              <w:t>项目建设内容为污水处理厂提升改造、村镇生活污水管网修复及完善，项目实施后，</w:t>
            </w:r>
            <w:r>
              <w:rPr>
                <w:rFonts w:hint="eastAsia" w:hAnsi="宋体"/>
              </w:rPr>
              <w:t>完善乡村内的污水管沟和排水系统，有效避免了污水横流污染附近地表水体的，对实现</w:t>
            </w:r>
            <w:r>
              <w:rPr>
                <w:rFonts w:hint="eastAsia"/>
                <w:szCs w:val="24"/>
              </w:rPr>
              <w:t>凤羽河和海尾水质达到《地表水环境质量标准》（GB3838-2002）Ⅲ类标准起到一定的效果。</w:t>
            </w:r>
            <w:r>
              <w:rPr>
                <w:rFonts w:hint="eastAsia"/>
              </w:rPr>
              <w:t>因此，拟建项目与《</w:t>
            </w:r>
            <w:r>
              <w:rPr>
                <w:rFonts w:hint="eastAsia"/>
                <w:szCs w:val="24"/>
              </w:rPr>
              <w:t>洱源县总体规划</w:t>
            </w:r>
            <w:r>
              <w:rPr>
                <w:rFonts w:hint="eastAsia"/>
              </w:rPr>
              <w:t>》（2012~2030）是相冲突的。</w:t>
            </w:r>
          </w:p>
          <w:p>
            <w:pPr>
              <w:tabs>
                <w:tab w:val="left" w:pos="0"/>
              </w:tabs>
              <w:adjustRightInd w:val="0"/>
              <w:snapToGrid w:val="0"/>
              <w:spacing w:line="360" w:lineRule="auto"/>
              <w:ind w:firstLine="482" w:firstLineChars="200"/>
              <w:rPr>
                <w:b/>
                <w:bCs/>
                <w:szCs w:val="24"/>
              </w:rPr>
            </w:pPr>
            <w:r>
              <w:rPr>
                <w:rFonts w:hint="eastAsia"/>
                <w:b/>
                <w:bCs/>
                <w:szCs w:val="24"/>
              </w:rPr>
              <w:t>5、项目可行性分析结论</w:t>
            </w:r>
          </w:p>
          <w:p>
            <w:pPr>
              <w:tabs>
                <w:tab w:val="left" w:pos="0"/>
              </w:tabs>
              <w:adjustRightInd w:val="0"/>
              <w:snapToGrid w:val="0"/>
              <w:spacing w:line="360" w:lineRule="auto"/>
              <w:ind w:firstLine="482" w:firstLineChars="200"/>
              <w:rPr>
                <w:b/>
                <w:bCs/>
                <w:szCs w:val="24"/>
              </w:rPr>
            </w:pPr>
            <w:r>
              <w:rPr>
                <w:rFonts w:hint="eastAsia"/>
                <w:b/>
                <w:bCs/>
                <w:szCs w:val="24"/>
              </w:rPr>
              <w:t>（1）</w:t>
            </w:r>
            <w:r>
              <w:rPr>
                <w:b/>
                <w:bCs/>
                <w:szCs w:val="24"/>
              </w:rPr>
              <w:t>项目产业政策相符性分析</w:t>
            </w:r>
            <w:r>
              <w:rPr>
                <w:rFonts w:hint="eastAsia"/>
                <w:b/>
                <w:bCs/>
                <w:szCs w:val="24"/>
              </w:rPr>
              <w:t>结论</w:t>
            </w:r>
          </w:p>
          <w:p>
            <w:pPr>
              <w:tabs>
                <w:tab w:val="left" w:pos="0"/>
              </w:tabs>
              <w:adjustRightInd w:val="0"/>
              <w:snapToGrid w:val="0"/>
              <w:spacing w:line="360" w:lineRule="auto"/>
              <w:ind w:firstLine="480" w:firstLineChars="200"/>
              <w:rPr>
                <w:szCs w:val="24"/>
              </w:rPr>
            </w:pPr>
            <w:r>
              <w:rPr>
                <w:szCs w:val="24"/>
              </w:rPr>
              <w:t>本项目属于</w:t>
            </w:r>
            <w:r>
              <w:rPr>
                <w:rFonts w:hint="eastAsia"/>
                <w:szCs w:val="24"/>
              </w:rPr>
              <w:t>污水集中收集处理工程。根据中华人民共和国国家发展和改革委员会令《产业结构调整指导目录（2019 年本）》，本项目属于鼓励类第二十二“城市基础设施”中的“9、城镇供排水管网工程、管网排查、检测及修复与改造工程和再生水利用技术与工程”，因此，本项目符合国家产业政策。且本项目已于2019年9月12日取得洱源县发展和改革局文件（洱发改复﹝2019﹞13号）。</w:t>
            </w:r>
          </w:p>
          <w:p>
            <w:pPr>
              <w:tabs>
                <w:tab w:val="left" w:pos="0"/>
              </w:tabs>
              <w:adjustRightInd w:val="0"/>
              <w:snapToGrid w:val="0"/>
              <w:spacing w:line="360" w:lineRule="auto"/>
              <w:ind w:firstLine="482" w:firstLineChars="200"/>
              <w:rPr>
                <w:b/>
                <w:bCs/>
                <w:szCs w:val="24"/>
              </w:rPr>
            </w:pPr>
            <w:r>
              <w:rPr>
                <w:rFonts w:hint="eastAsia"/>
                <w:b/>
                <w:bCs/>
                <w:szCs w:val="24"/>
              </w:rPr>
              <w:t>（2）</w:t>
            </w:r>
            <w:r>
              <w:rPr>
                <w:b/>
                <w:bCs/>
                <w:szCs w:val="24"/>
              </w:rPr>
              <w:t>项目选址</w:t>
            </w:r>
            <w:r>
              <w:rPr>
                <w:rFonts w:hint="eastAsia"/>
                <w:b/>
                <w:bCs/>
                <w:szCs w:val="24"/>
              </w:rPr>
              <w:t>可行</w:t>
            </w:r>
            <w:r>
              <w:rPr>
                <w:b/>
                <w:bCs/>
                <w:szCs w:val="24"/>
              </w:rPr>
              <w:t>性分析</w:t>
            </w:r>
            <w:r>
              <w:rPr>
                <w:rFonts w:hint="eastAsia"/>
                <w:b/>
                <w:bCs/>
                <w:szCs w:val="24"/>
              </w:rPr>
              <w:t>结论</w:t>
            </w:r>
          </w:p>
          <w:p>
            <w:pPr>
              <w:pStyle w:val="20"/>
              <w:adjustRightInd w:val="0"/>
              <w:snapToGrid w:val="0"/>
              <w:ind w:firstLine="480" w:firstLineChars="200"/>
              <w:rPr>
                <w:rFonts w:ascii="Times New Roman" w:hAnsi="Times New Roman"/>
                <w:color w:val="auto"/>
                <w:szCs w:val="24"/>
              </w:rPr>
            </w:pPr>
            <w:r>
              <w:rPr>
                <w:rFonts w:ascii="Times New Roman" w:hAnsi="Times New Roman"/>
                <w:color w:val="auto"/>
                <w:szCs w:val="24"/>
              </w:rPr>
              <w:t>本</w:t>
            </w:r>
            <w:r>
              <w:rPr>
                <w:rFonts w:hint="eastAsia" w:ascii="Times New Roman" w:hAnsi="Times New Roman"/>
                <w:color w:val="auto"/>
                <w:szCs w:val="24"/>
              </w:rPr>
              <w:t>次新建项目为牛街污水厂属于城市基础设施项目，项目在综合考虑接管可行性等多方面因素在原有老厂预留用地上扩建，老厂运行至今已有10余年历史。且本次属于未批先建，目前已正常运行，运行过程中均未收到附近村民的投诉建议，也未发生污染纠纷事故。根据现场踏勘调查，从感官上没有强烈的臭味刺激，且废气的预测结果能够达标排放；同时，产噪设备均置于封闭的隔声设备房内，现场未发现明显的噪声。因此，本环评建议，生产运营过程中及时做好与附近居民的沟通访问调查，及时了解本项目对居民的影响程度，并根据实际情况改进废气和噪声措施，</w:t>
            </w:r>
            <w:r>
              <w:rPr>
                <w:rFonts w:hint="eastAsia"/>
                <w:color w:val="auto"/>
              </w:rPr>
              <w:t>如有必要，应将牛街污水厂污水处理单元的无组织排放的臭气通过密封收集处理后改为以有组织的形式排放，同时在紧邻居民一侧安装声屏障。</w:t>
            </w:r>
          </w:p>
          <w:p>
            <w:pPr>
              <w:tabs>
                <w:tab w:val="left" w:pos="962"/>
                <w:tab w:val="left" w:pos="1200"/>
              </w:tabs>
              <w:adjustRightInd w:val="0"/>
              <w:snapToGrid w:val="0"/>
              <w:spacing w:line="360" w:lineRule="auto"/>
              <w:ind w:firstLine="482" w:firstLineChars="200"/>
              <w:rPr>
                <w:b/>
                <w:szCs w:val="24"/>
              </w:rPr>
            </w:pPr>
            <w:r>
              <w:rPr>
                <w:rFonts w:hint="eastAsia"/>
                <w:b/>
                <w:szCs w:val="24"/>
              </w:rPr>
              <w:t>6、综合评价结论</w:t>
            </w:r>
          </w:p>
          <w:p>
            <w:pPr>
              <w:adjustRightInd w:val="0"/>
              <w:snapToGrid w:val="0"/>
              <w:spacing w:line="360" w:lineRule="auto"/>
              <w:ind w:firstLine="480" w:firstLineChars="200"/>
              <w:rPr>
                <w:b/>
                <w:bCs/>
              </w:rPr>
            </w:pPr>
            <w:r>
              <w:rPr>
                <w:rFonts w:hint="eastAsia"/>
              </w:rPr>
              <w:t>大理州洱源县洱海流域污水处理厂提标改造及管网修复完善</w:t>
            </w:r>
            <w:r>
              <w:rPr>
                <w:rFonts w:hint="eastAsia"/>
                <w:szCs w:val="24"/>
              </w:rPr>
              <w:t>工程建设项目</w:t>
            </w:r>
            <w:r>
              <w:t>符合国家产业政策，</w:t>
            </w:r>
            <w:r>
              <w:rPr>
                <w:rFonts w:hint="eastAsia"/>
              </w:rPr>
              <w:t>与相关规划条例相符</w:t>
            </w:r>
            <w:r>
              <w:t>。</w:t>
            </w:r>
            <w:r>
              <w:rPr>
                <w:rFonts w:hint="eastAsia"/>
              </w:rPr>
              <w:t>项目实施后，将对乡村内管网实现全面覆盖和修复，从而使周边河道的水质得到很大程度的改善，从源头上有效减轻了对洱海的污染负荷，对整个洱海流域水质改善的体现出较好的社会效益和环</w:t>
            </w:r>
            <w:r>
              <w:rPr>
                <w:rFonts w:hint="eastAsia" w:ascii="宋体" w:hAnsi="宋体"/>
              </w:rPr>
              <w:t>境效益。</w:t>
            </w:r>
            <w:r>
              <w:t>建设单位在项目</w:t>
            </w:r>
            <w:r>
              <w:rPr>
                <w:rFonts w:hint="eastAsia"/>
              </w:rPr>
              <w:t>施工、</w:t>
            </w:r>
            <w:r>
              <w:t>运营过程中严格按照环保管理部门的要求，落实项目工程设计的环保措施以及本评价提出的污染治理措施，则项目的建设运营对当地区域环境的</w:t>
            </w:r>
            <w:r>
              <w:rPr>
                <w:rFonts w:hint="eastAsia"/>
              </w:rPr>
              <w:t>整体</w:t>
            </w:r>
            <w:r>
              <w:t>不利影响范围和程度较小，</w:t>
            </w:r>
            <w:r>
              <w:rPr>
                <w:rFonts w:hint="eastAsia"/>
              </w:rPr>
              <w:t>但由于牛街污水厂与北面的村民距离较近，</w:t>
            </w:r>
            <w:r>
              <w:rPr>
                <w:rFonts w:hint="eastAsia"/>
                <w:b/>
                <w:bCs/>
              </w:rPr>
              <w:t>因此，</w:t>
            </w:r>
            <w:r>
              <w:rPr>
                <w:rFonts w:hint="eastAsia"/>
                <w:b/>
                <w:bCs/>
                <w:szCs w:val="24"/>
              </w:rPr>
              <w:t>环评建议，生产运营过程中及时做好与附近居民的沟通访问调查，及时了解本项目对居民的影响程度，并根据实际情况改进废气和噪声措施，</w:t>
            </w:r>
            <w:r>
              <w:rPr>
                <w:rFonts w:hint="eastAsia"/>
                <w:b/>
                <w:bCs/>
              </w:rPr>
              <w:t>如有必要，应将牛街污水厂污水处理单元的无组织排放的臭气通过密封收集处理后改为以有组织的形式排放，同时在紧邻居民一侧安装声屏障。</w:t>
            </w:r>
          </w:p>
          <w:p>
            <w:pPr>
              <w:adjustRightInd w:val="0"/>
              <w:snapToGrid w:val="0"/>
              <w:spacing w:line="360" w:lineRule="auto"/>
              <w:rPr>
                <w:b/>
                <w:bCs/>
                <w:sz w:val="28"/>
                <w:szCs w:val="28"/>
              </w:rPr>
            </w:pPr>
            <w:r>
              <w:rPr>
                <w:rFonts w:hint="eastAsia"/>
                <w:b/>
                <w:sz w:val="28"/>
                <w:szCs w:val="28"/>
              </w:rPr>
              <w:t>（二）</w:t>
            </w:r>
            <w:r>
              <w:rPr>
                <w:b/>
                <w:sz w:val="28"/>
                <w:szCs w:val="28"/>
              </w:rPr>
              <w:t>对策措施</w:t>
            </w:r>
          </w:p>
          <w:p>
            <w:pPr>
              <w:adjustRightInd w:val="0"/>
              <w:snapToGrid w:val="0"/>
              <w:spacing w:line="360" w:lineRule="auto"/>
              <w:ind w:firstLine="482" w:firstLineChars="200"/>
              <w:rPr>
                <w:b/>
                <w:bCs/>
              </w:rPr>
            </w:pPr>
            <w:r>
              <w:rPr>
                <w:rFonts w:hint="eastAsia"/>
                <w:b/>
                <w:bCs/>
              </w:rPr>
              <w:t>1、</w:t>
            </w:r>
            <w:r>
              <w:rPr>
                <w:b/>
                <w:bCs/>
              </w:rPr>
              <w:t>施工期环境保护措施</w:t>
            </w:r>
          </w:p>
          <w:p>
            <w:pPr>
              <w:spacing w:line="360" w:lineRule="auto"/>
              <w:ind w:firstLine="482" w:firstLineChars="200"/>
              <w:rPr>
                <w:b/>
              </w:rPr>
            </w:pPr>
            <w:r>
              <w:rPr>
                <w:rFonts w:hint="eastAsia"/>
                <w:b/>
              </w:rPr>
              <w:t>（1）水环境</w:t>
            </w:r>
          </w:p>
          <w:p>
            <w:pPr>
              <w:keepLines/>
              <w:spacing w:line="360" w:lineRule="auto"/>
              <w:ind w:firstLine="480" w:firstLineChars="200"/>
              <w:rPr>
                <w:szCs w:val="24"/>
              </w:rPr>
            </w:pPr>
            <w:r>
              <w:rPr>
                <w:rFonts w:hint="eastAsia"/>
              </w:rPr>
              <w:t>①施工废水：项目在施工区设置临时沉淀池，施工废水经沉淀池进行沉淀处</w:t>
            </w:r>
            <w:r>
              <w:rPr>
                <w:rFonts w:hint="eastAsia"/>
                <w:szCs w:val="24"/>
              </w:rPr>
              <w:t>理后循环使用，不外排。</w:t>
            </w:r>
          </w:p>
          <w:p>
            <w:pPr>
              <w:keepLines/>
              <w:spacing w:line="360" w:lineRule="auto"/>
              <w:ind w:firstLine="480" w:firstLineChars="200"/>
              <w:rPr>
                <w:szCs w:val="24"/>
              </w:rPr>
            </w:pPr>
            <w:r>
              <w:rPr>
                <w:rFonts w:hint="eastAsia"/>
                <w:szCs w:val="24"/>
              </w:rPr>
              <w:t>②生活污水：少量洗涤污水收集后经临时沉淀池沉淀处理后，回用于施工场地及道路喷洒降尘，不外排；施工人员产生的生活粪便通过附近的住户解决。</w:t>
            </w:r>
          </w:p>
          <w:p>
            <w:pPr>
              <w:keepLines/>
              <w:spacing w:line="360" w:lineRule="auto"/>
              <w:ind w:firstLine="480" w:firstLineChars="200"/>
              <w:rPr>
                <w:szCs w:val="24"/>
              </w:rPr>
            </w:pPr>
            <w:r>
              <w:rPr>
                <w:rFonts w:hint="eastAsia"/>
                <w:szCs w:val="24"/>
              </w:rPr>
              <w:t>③</w:t>
            </w:r>
            <w:r>
              <w:rPr>
                <w:szCs w:val="24"/>
              </w:rPr>
              <w:t>在</w:t>
            </w:r>
            <w:r>
              <w:rPr>
                <w:rFonts w:hint="eastAsia"/>
                <w:szCs w:val="24"/>
              </w:rPr>
              <w:t>施工场地</w:t>
            </w:r>
            <w:r>
              <w:rPr>
                <w:szCs w:val="24"/>
              </w:rPr>
              <w:t>周围设置</w:t>
            </w:r>
            <w:r>
              <w:rPr>
                <w:rFonts w:hint="eastAsia"/>
                <w:szCs w:val="24"/>
              </w:rPr>
              <w:t>截排水沟，施工废水及地表径流严禁排入河道；同时采用先进施工技术，加强施工期间水土保持措施，尽量减少雨天泥沙进入附近地表水体影响水质。</w:t>
            </w:r>
          </w:p>
          <w:p>
            <w:pPr>
              <w:spacing w:line="360" w:lineRule="auto"/>
              <w:ind w:firstLine="480" w:firstLineChars="200"/>
              <w:rPr>
                <w:szCs w:val="24"/>
              </w:rPr>
            </w:pPr>
            <w:r>
              <w:rPr>
                <w:rFonts w:hint="eastAsia"/>
                <w:szCs w:val="24"/>
              </w:rPr>
              <w:t>④</w:t>
            </w:r>
            <w:r>
              <w:rPr>
                <w:bCs/>
              </w:rPr>
              <w:t>合理安排工期，</w:t>
            </w:r>
            <w:r>
              <w:rPr>
                <w:rFonts w:hint="eastAsia"/>
                <w:szCs w:val="24"/>
              </w:rPr>
              <w:t>尽量</w:t>
            </w:r>
            <w:r>
              <w:rPr>
                <w:bCs/>
              </w:rPr>
              <w:t>避免在雨天进行土方作业；雨天对粉状物料堆放场所和临时堆渣场进行必要的遮蔽，减少雨水冲刷。</w:t>
            </w:r>
          </w:p>
          <w:p>
            <w:pPr>
              <w:keepLines/>
              <w:spacing w:line="360" w:lineRule="auto"/>
              <w:ind w:firstLine="480" w:firstLineChars="200"/>
              <w:rPr>
                <w:szCs w:val="24"/>
              </w:rPr>
            </w:pPr>
            <w:r>
              <w:rPr>
                <w:rFonts w:hint="eastAsia"/>
                <w:szCs w:val="24"/>
              </w:rPr>
              <w:t>⑤施工废水处理池及生活污水处理池在设计时应考虑兼用于雨天及雨季回用不完污水的收集存储，适当扩大容积，雨天收集后待晴天回用，避免污染水体。</w:t>
            </w:r>
          </w:p>
          <w:p>
            <w:pPr>
              <w:keepLines/>
              <w:spacing w:line="360" w:lineRule="auto"/>
              <w:ind w:firstLine="482" w:firstLineChars="200"/>
              <w:rPr>
                <w:b/>
                <w:szCs w:val="24"/>
              </w:rPr>
            </w:pPr>
            <w:r>
              <w:rPr>
                <w:rFonts w:hint="eastAsia"/>
                <w:b/>
                <w:szCs w:val="24"/>
              </w:rPr>
              <w:t>（2）</w:t>
            </w:r>
            <w:r>
              <w:rPr>
                <w:b/>
                <w:szCs w:val="24"/>
              </w:rPr>
              <w:t>大气环境</w:t>
            </w:r>
          </w:p>
          <w:p>
            <w:pPr>
              <w:keepLines/>
              <w:spacing w:line="360" w:lineRule="auto"/>
              <w:ind w:firstLine="480" w:firstLineChars="200"/>
            </w:pPr>
            <w:r>
              <w:rPr>
                <w:rFonts w:hint="eastAsia"/>
              </w:rPr>
              <w:t>①工程设计时要考虑技术、经济以及环境等诸多方面因素，合理设定施工方法、施工作业面大小等。</w:t>
            </w:r>
          </w:p>
          <w:p>
            <w:pPr>
              <w:keepLines/>
              <w:spacing w:line="360" w:lineRule="auto"/>
              <w:ind w:firstLine="480" w:firstLineChars="200"/>
            </w:pPr>
            <w:r>
              <w:rPr>
                <w:rFonts w:hint="eastAsia"/>
              </w:rPr>
              <w:t>②施工方应禁止不符合国家排放标准的施工机械、车辆进入施工场地。</w:t>
            </w:r>
          </w:p>
          <w:p>
            <w:pPr>
              <w:keepLines/>
              <w:spacing w:line="360" w:lineRule="auto"/>
              <w:ind w:firstLine="480" w:firstLineChars="200"/>
            </w:pPr>
            <w:r>
              <w:rPr>
                <w:rFonts w:hint="eastAsia"/>
              </w:rPr>
              <w:t>③配备洒水车，在施工场地安排员工定期对施工场地洒水减少扬尘量，洒水次数根据天气状况而定，一般每天洒水1-2 次；若遇到大风天或干燥天气可适当增加洒水次数。</w:t>
            </w:r>
          </w:p>
          <w:p>
            <w:pPr>
              <w:keepLines/>
              <w:spacing w:line="360" w:lineRule="auto"/>
              <w:ind w:firstLine="480" w:firstLineChars="200"/>
            </w:pPr>
            <w:r>
              <w:rPr>
                <w:rFonts w:hint="eastAsia"/>
              </w:rPr>
              <w:t>④对临时开挖的土方应在四周设置围挡设施，合理安排堆放位置，减少可能引起的扬尘量，防治污染周围的环境空气质量。</w:t>
            </w:r>
          </w:p>
          <w:p>
            <w:pPr>
              <w:keepLines/>
              <w:spacing w:line="360" w:lineRule="auto"/>
              <w:ind w:firstLine="480" w:firstLineChars="200"/>
            </w:pPr>
            <w:r>
              <w:rPr>
                <w:rFonts w:hint="eastAsia"/>
              </w:rPr>
              <w:t>⑤运输原材料及施工垃圾车辆要严密遮盖，避免尘粒沿途撒落，减少汽车经过和风吹引起的道路扬尘，进入临近敏感点的道路区应减速慢行，该路段应进行洒水降尘。</w:t>
            </w:r>
          </w:p>
          <w:p>
            <w:pPr>
              <w:keepLines/>
              <w:spacing w:line="360" w:lineRule="auto"/>
              <w:ind w:firstLine="480" w:firstLineChars="200"/>
            </w:pPr>
            <w:r>
              <w:rPr>
                <w:rFonts w:hint="eastAsia"/>
              </w:rPr>
              <w:t>⑥施工弃土要及时清运，晴天干燥季节对存土、铲土运输要常洒水，以保持表面湿润，减少扬尘产生量。</w:t>
            </w:r>
          </w:p>
          <w:p>
            <w:pPr>
              <w:keepLines/>
              <w:spacing w:line="360" w:lineRule="auto"/>
              <w:ind w:firstLine="480" w:firstLineChars="200"/>
            </w:pPr>
            <w:r>
              <w:rPr>
                <w:rFonts w:hint="eastAsia"/>
              </w:rPr>
              <w:t>⑦弃土装车应控制低于车厢挡板，减少途中撒落，施工运输车辆的速度应小于 30km/h，以减少道路二次扬尘。</w:t>
            </w:r>
          </w:p>
          <w:p>
            <w:pPr>
              <w:adjustRightInd w:val="0"/>
              <w:snapToGrid w:val="0"/>
              <w:spacing w:line="360" w:lineRule="auto"/>
              <w:ind w:firstLine="480" w:firstLineChars="200"/>
              <w:rPr>
                <w:snapToGrid w:val="0"/>
                <w:szCs w:val="24"/>
              </w:rPr>
            </w:pPr>
            <w:r>
              <w:rPr>
                <w:rFonts w:hint="eastAsia"/>
              </w:rPr>
              <w:t>⑧</w:t>
            </w:r>
            <w:r>
              <w:rPr>
                <w:rFonts w:hint="eastAsia"/>
                <w:snapToGrid w:val="0"/>
                <w:szCs w:val="24"/>
              </w:rPr>
              <w:t>进行焊接作业施工时佩戴眼罩、口罩等防护面具，焊接作业人员尽量采取换班式作业，尽量避免同一人长时间接触对身体产生的影响。</w:t>
            </w:r>
          </w:p>
          <w:p>
            <w:pPr>
              <w:keepLines/>
              <w:adjustRightInd w:val="0"/>
              <w:snapToGrid w:val="0"/>
              <w:spacing w:line="360" w:lineRule="auto"/>
              <w:ind w:firstLine="241" w:firstLineChars="100"/>
              <w:rPr>
                <w:b/>
                <w:szCs w:val="24"/>
              </w:rPr>
            </w:pPr>
            <w:r>
              <w:rPr>
                <w:rFonts w:hint="eastAsia"/>
                <w:b/>
                <w:szCs w:val="24"/>
              </w:rPr>
              <w:t>（3）</w:t>
            </w:r>
            <w:r>
              <w:rPr>
                <w:b/>
                <w:szCs w:val="24"/>
              </w:rPr>
              <w:t>声环境</w:t>
            </w:r>
          </w:p>
          <w:p>
            <w:pPr>
              <w:pStyle w:val="80"/>
              <w:keepLines/>
              <w:adjustRightInd w:val="0"/>
              <w:snapToGrid w:val="0"/>
              <w:spacing w:line="360" w:lineRule="auto"/>
              <w:ind w:firstLine="480"/>
            </w:pPr>
            <w:r>
              <w:rPr>
                <w:rFonts w:hint="eastAsia"/>
              </w:rPr>
              <w:t>①在满足施工需要的前提下，尽可能选取噪声低、振动小、能耗小的先进设备，加强对施工机械的维护保养，避免由于设备性能差而使机械噪声增大的现象发生。</w:t>
            </w:r>
          </w:p>
          <w:p>
            <w:pPr>
              <w:pStyle w:val="80"/>
              <w:keepLines/>
              <w:adjustRightInd w:val="0"/>
              <w:snapToGrid w:val="0"/>
              <w:spacing w:line="360" w:lineRule="auto"/>
              <w:ind w:firstLine="480"/>
            </w:pPr>
            <w:r>
              <w:rPr>
                <w:rFonts w:hint="eastAsia"/>
              </w:rPr>
              <w:t>②设备采取合理布局，在不影响施工情况下将高噪声设备尽量不集中安排。</w:t>
            </w:r>
          </w:p>
          <w:p>
            <w:pPr>
              <w:pStyle w:val="80"/>
              <w:keepLines/>
              <w:adjustRightInd w:val="0"/>
              <w:snapToGrid w:val="0"/>
              <w:spacing w:line="360" w:lineRule="auto"/>
              <w:ind w:firstLine="480"/>
            </w:pPr>
            <w:r>
              <w:rPr>
                <w:rFonts w:hint="eastAsia"/>
              </w:rPr>
              <w:t>③安排工人轮流进行机械操作，减少接触高噪声的时间，对在声源附近时间较长时间作业的工人，发放防声耳塞、头盔等，对工人进行自身保护。</w:t>
            </w:r>
          </w:p>
          <w:p>
            <w:pPr>
              <w:spacing w:line="360" w:lineRule="auto"/>
              <w:ind w:firstLine="480" w:firstLineChars="200"/>
            </w:pPr>
            <w:r>
              <w:rPr>
                <w:rFonts w:hint="eastAsia"/>
              </w:rPr>
              <w:t>④</w:t>
            </w:r>
            <w:r>
              <w:rPr>
                <w:bCs/>
              </w:rPr>
              <w:t>在</w:t>
            </w:r>
            <w:r>
              <w:rPr>
                <w:rFonts w:hint="eastAsia"/>
                <w:bCs/>
              </w:rPr>
              <w:t>管网</w:t>
            </w:r>
            <w:r>
              <w:rPr>
                <w:bCs/>
              </w:rPr>
              <w:t>施工过程中采取设</w:t>
            </w:r>
            <w:r>
              <w:rPr>
                <w:rFonts w:hint="eastAsia"/>
                <w:bCs/>
              </w:rPr>
              <w:t>置</w:t>
            </w:r>
            <w:r>
              <w:rPr>
                <w:bCs/>
              </w:rPr>
              <w:t>施工围档，并合理安排高噪声设备的使用时间，在敏感点分布较多的地段</w:t>
            </w:r>
            <w:r>
              <w:rPr>
                <w:rFonts w:hint="eastAsia"/>
                <w:bCs/>
              </w:rPr>
              <w:t>进行管网工程施工时建议</w:t>
            </w:r>
            <w:r>
              <w:rPr>
                <w:bCs/>
              </w:rPr>
              <w:t>采用人工挖掘方法以减轻影响。</w:t>
            </w:r>
          </w:p>
          <w:p>
            <w:pPr>
              <w:pStyle w:val="80"/>
              <w:keepLines/>
              <w:adjustRightInd w:val="0"/>
              <w:snapToGrid w:val="0"/>
              <w:spacing w:line="360" w:lineRule="auto"/>
              <w:ind w:firstLine="480"/>
            </w:pPr>
            <w:r>
              <w:rPr>
                <w:rFonts w:hint="eastAsia"/>
              </w:rPr>
              <w:t>⑤在有村庄分布的公路路段设置禁鸣和限速醒目标志，加强对此路段路面的保养，保持路况良好，夜间禁止大型车辆在有敏感点分布的路段进行运输活动。</w:t>
            </w:r>
          </w:p>
          <w:p>
            <w:pPr>
              <w:pStyle w:val="80"/>
              <w:keepLines/>
              <w:adjustRightInd w:val="0"/>
              <w:snapToGrid w:val="0"/>
              <w:spacing w:line="360" w:lineRule="auto"/>
              <w:ind w:firstLine="480"/>
            </w:pPr>
            <w:r>
              <w:rPr>
                <w:rFonts w:hint="eastAsia"/>
              </w:rPr>
              <w:t>⑥合理安排施工时间表，对高噪声作业施工时间进行管制，禁止夜间施工。</w:t>
            </w:r>
          </w:p>
          <w:p>
            <w:pPr>
              <w:pStyle w:val="80"/>
              <w:keepLines/>
              <w:adjustRightInd w:val="0"/>
              <w:snapToGrid w:val="0"/>
              <w:spacing w:line="360" w:lineRule="auto"/>
              <w:ind w:firstLine="480"/>
            </w:pPr>
            <w:r>
              <w:rPr>
                <w:rFonts w:hint="eastAsia"/>
              </w:rPr>
              <w:t>⑦做好好施工区及道路区周边村民的沟通工作，争取得到村民的理解支持，并定期调查回访，对村民提出的减噪建议及意见及时采纳。</w:t>
            </w:r>
          </w:p>
          <w:p>
            <w:pPr>
              <w:adjustRightInd w:val="0"/>
              <w:snapToGrid w:val="0"/>
              <w:spacing w:line="360" w:lineRule="auto"/>
              <w:ind w:firstLine="482" w:firstLineChars="200"/>
              <w:rPr>
                <w:b/>
                <w:bCs/>
                <w:szCs w:val="24"/>
              </w:rPr>
            </w:pPr>
            <w:r>
              <w:rPr>
                <w:rFonts w:hint="eastAsia"/>
                <w:b/>
                <w:bCs/>
                <w:szCs w:val="24"/>
              </w:rPr>
              <w:t>（4）固体废弃物</w:t>
            </w:r>
          </w:p>
          <w:p>
            <w:pPr>
              <w:adjustRightInd w:val="0"/>
              <w:snapToGrid w:val="0"/>
              <w:spacing w:line="360" w:lineRule="auto"/>
              <w:ind w:firstLine="480" w:firstLineChars="200"/>
              <w:rPr>
                <w:szCs w:val="24"/>
              </w:rPr>
            </w:pPr>
            <w:r>
              <w:rPr>
                <w:rFonts w:hint="eastAsia"/>
                <w:szCs w:val="24"/>
              </w:rPr>
              <w:t>①开挖土石方应尽量及时回用，回用不完的弃渣或表土应及时运至本区开挖产生的建筑垃圾方运至建设管理部门指定的合法弃渣场。不得随意堆放或倾倒，沟槽开挖前产生的表土用编织袋袋堆放于施工区内，后期用于绿化覆土回填。</w:t>
            </w:r>
          </w:p>
          <w:p>
            <w:pPr>
              <w:adjustRightInd w:val="0"/>
              <w:snapToGrid w:val="0"/>
              <w:spacing w:line="360" w:lineRule="auto"/>
              <w:ind w:firstLine="480" w:firstLineChars="200"/>
            </w:pPr>
            <w:r>
              <w:rPr>
                <w:rFonts w:hint="eastAsia"/>
                <w:szCs w:val="24"/>
              </w:rPr>
              <w:t>②施工期间施工人员生活垃圾分类收集后，委托环卫部门进行处理。建筑垃圾</w:t>
            </w:r>
            <w:r>
              <w:rPr>
                <w:rFonts w:hint="eastAsia"/>
              </w:rPr>
              <w:t>可送废品收购站回收利用，余下无回收价值的，</w:t>
            </w:r>
            <w:r>
              <w:t>须严格按照</w:t>
            </w:r>
            <w:r>
              <w:rPr>
                <w:rFonts w:hint="eastAsia"/>
              </w:rPr>
              <w:t>源县市政管理部门的要求进行处置。</w:t>
            </w:r>
          </w:p>
          <w:p>
            <w:pPr>
              <w:adjustRightInd w:val="0"/>
              <w:snapToGrid w:val="0"/>
              <w:spacing w:line="360" w:lineRule="auto"/>
              <w:ind w:firstLine="482" w:firstLineChars="200"/>
              <w:rPr>
                <w:b/>
                <w:bCs/>
              </w:rPr>
            </w:pPr>
            <w:r>
              <w:rPr>
                <w:rFonts w:hint="eastAsia"/>
                <w:b/>
                <w:bCs/>
              </w:rPr>
              <w:t>（5）生态恢复措施</w:t>
            </w:r>
          </w:p>
          <w:p>
            <w:pPr>
              <w:adjustRightInd w:val="0"/>
              <w:snapToGrid w:val="0"/>
              <w:spacing w:line="360" w:lineRule="auto"/>
              <w:ind w:firstLine="480" w:firstLineChars="200"/>
              <w:rPr>
                <w:bCs/>
              </w:rPr>
            </w:pPr>
            <w:r>
              <w:t>对于临时建筑物和临时公路，在施工结束后，应该拆除建筑物，并覆土、迹地恢复。对于</w:t>
            </w:r>
            <w:r>
              <w:rPr>
                <w:rFonts w:hint="eastAsia"/>
              </w:rPr>
              <w:t>土方堆场</w:t>
            </w:r>
            <w:r>
              <w:t>，在</w:t>
            </w:r>
            <w:r>
              <w:rPr>
                <w:rFonts w:hint="eastAsia"/>
              </w:rPr>
              <w:t>施工</w:t>
            </w:r>
            <w:r>
              <w:t>结束后应覆土</w:t>
            </w:r>
            <w:r>
              <w:rPr>
                <w:rFonts w:hint="eastAsia"/>
              </w:rPr>
              <w:t>回填及植被恢复</w:t>
            </w:r>
            <w:r>
              <w:t>，植被恢复宜选在雨季进行，并采用当地植物的种子、幼苗进行种植，避免使用外来物种。</w:t>
            </w:r>
          </w:p>
          <w:p>
            <w:pPr>
              <w:adjustRightInd w:val="0"/>
              <w:snapToGrid w:val="0"/>
              <w:spacing w:line="360" w:lineRule="auto"/>
              <w:ind w:firstLine="482" w:firstLineChars="200"/>
              <w:rPr>
                <w:b/>
              </w:rPr>
            </w:pPr>
            <w:r>
              <w:rPr>
                <w:rFonts w:hint="eastAsia"/>
                <w:b/>
              </w:rPr>
              <w:t>（6）水土保持措施</w:t>
            </w:r>
          </w:p>
          <w:p>
            <w:pPr>
              <w:adjustRightInd w:val="0"/>
              <w:snapToGrid w:val="0"/>
              <w:spacing w:line="360" w:lineRule="auto"/>
              <w:ind w:firstLine="480" w:firstLineChars="200"/>
              <w:rPr>
                <w:bCs/>
              </w:rPr>
            </w:pPr>
            <w:r>
              <w:rPr>
                <w:rFonts w:hint="eastAsia"/>
                <w:bCs/>
              </w:rPr>
              <w:t>①雨季做好水土保持临时防护措施，尽量避免雨季施工。</w:t>
            </w:r>
          </w:p>
          <w:p>
            <w:pPr>
              <w:adjustRightInd w:val="0"/>
              <w:snapToGrid w:val="0"/>
              <w:spacing w:line="360" w:lineRule="auto"/>
              <w:ind w:firstLine="480" w:firstLineChars="200"/>
              <w:rPr>
                <w:bCs/>
              </w:rPr>
            </w:pPr>
            <w:r>
              <w:rPr>
                <w:rFonts w:hint="eastAsia"/>
                <w:bCs/>
              </w:rPr>
              <w:t>②在开挖沟槽周围设置雨水截排水沟。</w:t>
            </w:r>
          </w:p>
          <w:p>
            <w:pPr>
              <w:adjustRightInd w:val="0"/>
              <w:snapToGrid w:val="0"/>
              <w:spacing w:line="360" w:lineRule="auto"/>
              <w:ind w:firstLine="480" w:firstLineChars="200"/>
              <w:rPr>
                <w:b/>
                <w:bCs/>
              </w:rPr>
            </w:pPr>
            <w:r>
              <w:rPr>
                <w:rFonts w:hint="eastAsia"/>
                <w:bCs/>
              </w:rPr>
              <w:t>③对临时堆放于管槽侧的临时堆土采用防雨布进行临时遮盖（防雨布可重复使用）；当暴雨来临时应使用一些防护物，如使用草席等进行覆盖，在堆场及灰土拌和场等周围，应设土工布围栏，以减少建材随雨水流失对水环境造成影响。</w:t>
            </w:r>
          </w:p>
          <w:p>
            <w:pPr>
              <w:adjustRightInd w:val="0"/>
              <w:snapToGrid w:val="0"/>
              <w:spacing w:line="360" w:lineRule="auto"/>
              <w:ind w:firstLine="482" w:firstLineChars="200"/>
              <w:rPr>
                <w:b/>
                <w:bCs/>
              </w:rPr>
            </w:pPr>
            <w:r>
              <w:rPr>
                <w:rFonts w:hint="eastAsia"/>
                <w:b/>
                <w:bCs/>
              </w:rPr>
              <w:t>2、</w:t>
            </w:r>
            <w:r>
              <w:rPr>
                <w:b/>
                <w:bCs/>
              </w:rPr>
              <w:t>运营期环境保护措施</w:t>
            </w:r>
          </w:p>
          <w:p>
            <w:pPr>
              <w:adjustRightInd w:val="0"/>
              <w:snapToGrid w:val="0"/>
              <w:spacing w:line="360" w:lineRule="auto"/>
              <w:ind w:firstLine="482" w:firstLineChars="200"/>
              <w:rPr>
                <w:b/>
                <w:bCs/>
              </w:rPr>
            </w:pPr>
            <w:r>
              <w:rPr>
                <w:rFonts w:hint="eastAsia"/>
                <w:b/>
                <w:bCs/>
              </w:rPr>
              <w:t>（1）</w:t>
            </w:r>
            <w:r>
              <w:rPr>
                <w:b/>
                <w:bCs/>
              </w:rPr>
              <w:t>水环境</w:t>
            </w:r>
          </w:p>
          <w:p>
            <w:pPr>
              <w:adjustRightInd w:val="0"/>
              <w:snapToGrid w:val="0"/>
              <w:spacing w:line="360" w:lineRule="auto"/>
              <w:ind w:firstLine="480" w:firstLineChars="200"/>
              <w:rPr>
                <w:rFonts w:ascii="宋体" w:hAnsi="宋体"/>
              </w:rPr>
            </w:pPr>
            <w:r>
              <w:rPr>
                <w:rFonts w:hint="eastAsia"/>
                <w:bCs/>
              </w:rPr>
              <w:t>①</w:t>
            </w:r>
            <w:r>
              <w:rPr>
                <w:rFonts w:hint="eastAsia" w:ascii="宋体" w:hAnsi="宋体"/>
              </w:rPr>
              <w:t>为保证污水处理的效果，建设方须委托有资质的专业技术单位进行污水处理设施设计，并认真组织实施，保持污水处理设施的正常运行；做好废水处理设施的日常管理及维护，定期检修设备，确保设施持续稳定运行。</w:t>
            </w:r>
          </w:p>
          <w:p>
            <w:pPr>
              <w:adjustRightInd w:val="0"/>
              <w:snapToGrid w:val="0"/>
              <w:spacing w:line="360" w:lineRule="auto"/>
              <w:ind w:firstLine="480" w:firstLineChars="200"/>
              <w:rPr>
                <w:rFonts w:ascii="宋体" w:hAnsi="宋体"/>
              </w:rPr>
            </w:pPr>
            <w:r>
              <w:rPr>
                <w:rFonts w:hint="eastAsia"/>
                <w:bCs/>
              </w:rPr>
              <w:t>②</w:t>
            </w:r>
            <w:r>
              <w:rPr>
                <w:rFonts w:hint="eastAsia" w:ascii="宋体" w:hAnsi="宋体"/>
              </w:rPr>
              <w:t>污水处理设施出水排入配套湿地，禁止直接排入附近地表水体。</w:t>
            </w:r>
          </w:p>
          <w:p>
            <w:pPr>
              <w:adjustRightInd w:val="0"/>
              <w:snapToGrid w:val="0"/>
              <w:spacing w:line="360" w:lineRule="auto"/>
              <w:ind w:firstLine="480" w:firstLineChars="200"/>
              <w:rPr>
                <w:rFonts w:ascii="宋体" w:hAnsi="宋体"/>
              </w:rPr>
            </w:pPr>
            <w:r>
              <w:rPr>
                <w:rFonts w:hint="eastAsia" w:ascii="宋体" w:hAnsi="宋体"/>
              </w:rPr>
              <w:t>③运营期加强污水管道、截污沟等的巡查维护，避免阻塞、外溢，影响污水集中收集处理效果。</w:t>
            </w:r>
          </w:p>
          <w:p>
            <w:pPr>
              <w:adjustRightInd w:val="0"/>
              <w:snapToGrid w:val="0"/>
              <w:spacing w:line="360" w:lineRule="auto"/>
              <w:ind w:firstLine="480" w:firstLineChars="200"/>
              <w:rPr>
                <w:szCs w:val="24"/>
              </w:rPr>
            </w:pPr>
            <w:r>
              <w:rPr>
                <w:rFonts w:hint="eastAsia"/>
              </w:rPr>
              <w:t xml:space="preserve"> </w:t>
            </w:r>
            <w:r>
              <w:rPr>
                <w:rFonts w:hint="eastAsia" w:ascii="宋体" w:hAnsi="宋体"/>
              </w:rPr>
              <w:t>④同时加强污水收集、处理及排放等过程的管理，制定污水事故排放的防范</w:t>
            </w:r>
            <w:r>
              <w:rPr>
                <w:rFonts w:hint="eastAsia" w:ascii="宋体" w:hAnsi="宋体"/>
                <w:szCs w:val="24"/>
              </w:rPr>
              <w:t>措施和应急预案，杜绝污水发生事故排放。</w:t>
            </w:r>
          </w:p>
          <w:p>
            <w:pPr>
              <w:adjustRightInd w:val="0"/>
              <w:snapToGrid w:val="0"/>
              <w:spacing w:line="360" w:lineRule="auto"/>
              <w:ind w:firstLine="480" w:firstLineChars="200"/>
              <w:rPr>
                <w:szCs w:val="24"/>
              </w:rPr>
            </w:pPr>
            <w:r>
              <w:rPr>
                <w:rFonts w:hint="eastAsia"/>
                <w:smallCaps/>
                <w:szCs w:val="24"/>
              </w:rPr>
              <w:t>⑤加强污水处理单元的防渗处理，避免发生下渗污染区域内的地下水水质。</w:t>
            </w:r>
          </w:p>
          <w:p>
            <w:pPr>
              <w:adjustRightInd w:val="0"/>
              <w:snapToGrid w:val="0"/>
              <w:spacing w:line="360" w:lineRule="auto"/>
              <w:ind w:firstLine="482" w:firstLineChars="200"/>
            </w:pPr>
            <w:r>
              <w:rPr>
                <w:rFonts w:hint="eastAsia"/>
                <w:b/>
                <w:bCs/>
              </w:rPr>
              <w:t>（2）大气</w:t>
            </w:r>
            <w:r>
              <w:rPr>
                <w:b/>
                <w:bCs/>
              </w:rPr>
              <w:t>环境</w:t>
            </w:r>
          </w:p>
          <w:p>
            <w:pPr>
              <w:autoSpaceDE w:val="0"/>
              <w:autoSpaceDN w:val="0"/>
              <w:adjustRightInd w:val="0"/>
              <w:snapToGrid w:val="0"/>
              <w:spacing w:line="360" w:lineRule="auto"/>
              <w:ind w:firstLine="480" w:firstLineChars="200"/>
              <w:jc w:val="left"/>
              <w:rPr>
                <w:b/>
                <w:szCs w:val="24"/>
              </w:rPr>
            </w:pPr>
            <w:r>
              <w:rPr>
                <w:rFonts w:hint="eastAsia" w:ascii="宋体" w:hAnsi="宋体" w:cs="ArialUnicodeMS"/>
                <w:kern w:val="0"/>
              </w:rPr>
              <w:t>污水处理厂产臭单元进行半封闭覆盖，减少臭气排放；加强污水处理厂运行管理，及时清运污泥；在污水处理厂周围厂界内设置绿化防护带，减轻臭气对外环境的影响；</w:t>
            </w:r>
            <w:r>
              <w:rPr>
                <w:rFonts w:hint="eastAsia"/>
              </w:rPr>
              <w:t>应定期做好与附近村民的调查访问工作，及时了解本项目对周围环境的影响程度，根据村民的建议与意见采取有效的改进措施，如有必要，应将牛街污水厂污水处理单元的无组织排放的臭气通过密封收集处理后改为以有组织的形式排放。</w:t>
            </w:r>
          </w:p>
          <w:p>
            <w:pPr>
              <w:adjustRightInd w:val="0"/>
              <w:snapToGrid w:val="0"/>
              <w:spacing w:line="360" w:lineRule="auto"/>
              <w:ind w:firstLine="482" w:firstLineChars="200"/>
              <w:rPr>
                <w:b/>
                <w:szCs w:val="24"/>
              </w:rPr>
            </w:pPr>
            <w:r>
              <w:rPr>
                <w:rFonts w:hint="eastAsia"/>
                <w:b/>
                <w:szCs w:val="24"/>
              </w:rPr>
              <w:t>（3）</w:t>
            </w:r>
            <w:r>
              <w:rPr>
                <w:b/>
                <w:szCs w:val="24"/>
              </w:rPr>
              <w:t>噪声</w:t>
            </w:r>
          </w:p>
          <w:p>
            <w:pPr>
              <w:pStyle w:val="17"/>
              <w:adjustRightInd w:val="0"/>
              <w:snapToGrid w:val="0"/>
              <w:spacing w:line="360" w:lineRule="auto"/>
              <w:ind w:firstLine="480" w:firstLineChars="200"/>
            </w:pPr>
            <w:r>
              <w:rPr>
                <w:rFonts w:hint="eastAsia"/>
              </w:rPr>
              <w:t>邓川、右所污水厂污水处理设备采取基础减震、构筑物隔声等措施；牛街</w:t>
            </w:r>
            <w:r>
              <w:rPr>
                <w:rFonts w:hint="eastAsia" w:hAnsi="宋体" w:cs="ArialUnicodeMS"/>
                <w:kern w:val="0"/>
              </w:rPr>
              <w:t>污水处理</w:t>
            </w:r>
            <w:r>
              <w:rPr>
                <w:rFonts w:hint="eastAsia"/>
              </w:rPr>
              <w:t>厂采取基础减震和隔声系统，除此之外，还应根据实际情况的需要采取以下措施：</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①对北厂界（临近居民一侧）的围墙采用砖混结构形式，不可使用围栏结构。同时加强厂界处绿化建设，种植高大密集的乔木，绿化带有明显的吸声、隔声降噪作用，有效隔声降噪减缓夜间噪声对村民的影响；</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②选用低噪声设备。对高产噪设备进行更换或是单独隔声降噪处理；</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 xml:space="preserve">③日常加强各类设备的保养维护工作，确保设备稳定正常运转； </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④加强与村民的互动和民意调查，及时了解本项目噪声对村民的影响情况，并听取村民的意见和建议，加强和改进相关防治措施，如有必要，应在临近居民一面建设声屏障或是对居民卧室安装隔声窗，尽量减少噪声对敏感目标的影响。</w:t>
            </w:r>
          </w:p>
          <w:p>
            <w:pPr>
              <w:pStyle w:val="36"/>
              <w:adjustRightInd w:val="0"/>
              <w:snapToGrid w:val="0"/>
              <w:spacing w:before="0" w:after="0" w:line="360" w:lineRule="auto"/>
              <w:ind w:firstLine="482" w:firstLineChars="200"/>
              <w:rPr>
                <w:b/>
                <w:sz w:val="24"/>
                <w:szCs w:val="24"/>
              </w:rPr>
            </w:pPr>
            <w:r>
              <w:rPr>
                <w:rFonts w:hint="eastAsia"/>
                <w:b/>
                <w:sz w:val="24"/>
                <w:szCs w:val="24"/>
              </w:rPr>
              <w:t>（4）</w:t>
            </w:r>
            <w:r>
              <w:rPr>
                <w:b/>
                <w:sz w:val="24"/>
                <w:szCs w:val="24"/>
              </w:rPr>
              <w:t>固体废物</w:t>
            </w:r>
          </w:p>
          <w:p>
            <w:pPr>
              <w:adjustRightInd w:val="0"/>
              <w:snapToGrid w:val="0"/>
              <w:spacing w:line="360" w:lineRule="auto"/>
              <w:ind w:firstLine="480" w:firstLineChars="200"/>
            </w:pPr>
            <w:r>
              <w:rPr>
                <w:rFonts w:hint="eastAsia"/>
                <w:szCs w:val="24"/>
              </w:rPr>
              <w:t>项目污水处理厂产生的格栅渣、污泥均为一般固废废物，污泥脱水处理达到相关标准后，清运至垃圾填埋场处置；管道清掏产生的污泥</w:t>
            </w:r>
            <w:r>
              <w:rPr>
                <w:rFonts w:hint="eastAsia"/>
                <w:bCs/>
                <w:szCs w:val="24"/>
              </w:rPr>
              <w:t>采用吸污车外运至附近的集镇污水处理厂，委托集镇污水处理厂一并处置；废机油统一收集后，委托有资质的单位处置。</w:t>
            </w:r>
          </w:p>
          <w:p>
            <w:pPr>
              <w:pStyle w:val="103"/>
              <w:adjustRightInd w:val="0"/>
              <w:snapToGrid w:val="0"/>
              <w:rPr>
                <w:rFonts w:ascii="宋体" w:hAnsi="宋体" w:cs="仿宋_GB2312"/>
              </w:rPr>
            </w:pPr>
            <w:r>
              <w:rPr>
                <w:rFonts w:hint="eastAsia"/>
                <w:bCs w:val="0"/>
                <w:szCs w:val="24"/>
              </w:rPr>
              <w:t>（6）</w:t>
            </w:r>
            <w:r>
              <w:rPr>
                <w:rFonts w:hint="eastAsia"/>
                <w:szCs w:val="24"/>
              </w:rPr>
              <w:t>环境风险防范措施</w:t>
            </w:r>
          </w:p>
          <w:p>
            <w:pPr>
              <w:adjustRightInd w:val="0"/>
              <w:snapToGrid w:val="0"/>
              <w:spacing w:line="360" w:lineRule="auto"/>
              <w:ind w:firstLine="480" w:firstLineChars="200"/>
            </w:pPr>
            <w:r>
              <w:t>①加强对风险物质次氯酸钠、废机油的储存管理，次氯酸钠应保存在专门的容器内，并储存于固定的药品间内；废机油暂存于专用收集桶内，暂存于危废暂存间，并对药品间和危废暂存间地面和墙面进行防腐防渗处理。同时，厂区内配备相关应急物资。</w:t>
            </w:r>
          </w:p>
          <w:p>
            <w:pPr>
              <w:adjustRightInd w:val="0"/>
              <w:snapToGrid w:val="0"/>
              <w:spacing w:line="360" w:lineRule="auto"/>
              <w:ind w:firstLine="480" w:firstLineChars="200"/>
            </w:pPr>
            <w:r>
              <w:t>②加强对风险物质的管控制度，做好台账记录和危废转运五联单。</w:t>
            </w:r>
          </w:p>
          <w:p>
            <w:pPr>
              <w:adjustRightInd w:val="0"/>
              <w:snapToGrid w:val="0"/>
              <w:spacing w:line="360" w:lineRule="auto"/>
              <w:ind w:firstLine="480" w:firstLineChars="200"/>
              <w:rPr>
                <w:bCs/>
              </w:rPr>
            </w:pPr>
            <w:r>
              <w:rPr>
                <w:bCs/>
              </w:rPr>
              <w:t>③设立安全与环保专员，负责全厂的安全运营，建立完善的安全生产管理制度，加强安全生产的宣传和教育，确保安全生产落实到生产中的每一个环节。</w:t>
            </w:r>
          </w:p>
          <w:p>
            <w:pPr>
              <w:adjustRightInd w:val="0"/>
              <w:snapToGrid w:val="0"/>
              <w:spacing w:line="360" w:lineRule="auto"/>
              <w:ind w:firstLine="480" w:firstLineChars="200"/>
              <w:rPr>
                <w:bCs/>
              </w:rPr>
            </w:pPr>
            <w:r>
              <w:rPr>
                <w:bCs/>
              </w:rPr>
              <w:t>④厂区内设完善的安全报警通讯系统，并配备防毒面具、灭火器等必要的消防应急物资，一旦发生事故能自行抢救或控制、减缓事故的扩大。</w:t>
            </w:r>
          </w:p>
          <w:p>
            <w:pPr>
              <w:adjustRightInd w:val="0"/>
              <w:snapToGrid w:val="0"/>
              <w:spacing w:line="360" w:lineRule="auto"/>
              <w:ind w:firstLine="480" w:firstLineChars="200"/>
              <w:rPr>
                <w:bCs/>
              </w:rPr>
            </w:pPr>
            <w:r>
              <w:rPr>
                <w:bCs/>
              </w:rPr>
              <w:t>⑤组织人员培训，一般性工作人员要求能够熟练掌握正确的设备操作程序，指挥机构人员则应进行事故判别、决策指挥等方面的专业培训。</w:t>
            </w:r>
          </w:p>
          <w:p>
            <w:pPr>
              <w:adjustRightInd w:val="0"/>
              <w:snapToGrid w:val="0"/>
              <w:spacing w:line="360" w:lineRule="auto"/>
              <w:ind w:firstLine="480" w:firstLineChars="200"/>
              <w:rPr>
                <w:rFonts w:ascii="宋体" w:hAnsi="宋体"/>
                <w:bCs/>
              </w:rPr>
            </w:pPr>
            <w:r>
              <w:rPr>
                <w:bCs/>
              </w:rPr>
              <w:t>⑥做好应急预案工作及应急演练。</w:t>
            </w:r>
          </w:p>
          <w:p>
            <w:pPr>
              <w:adjustRightInd w:val="0"/>
              <w:snapToGrid w:val="0"/>
              <w:spacing w:line="360" w:lineRule="auto"/>
              <w:rPr>
                <w:bCs/>
                <w:sz w:val="28"/>
                <w:szCs w:val="28"/>
              </w:rPr>
            </w:pPr>
            <w:r>
              <w:rPr>
                <w:rFonts w:hint="eastAsia"/>
                <w:b/>
                <w:sz w:val="28"/>
                <w:szCs w:val="28"/>
              </w:rPr>
              <w:t>（三）</w:t>
            </w:r>
            <w:r>
              <w:rPr>
                <w:b/>
                <w:bCs/>
                <w:sz w:val="28"/>
                <w:szCs w:val="28"/>
              </w:rPr>
              <w:t>建议</w:t>
            </w:r>
            <w:r>
              <w:rPr>
                <w:rFonts w:hint="eastAsia"/>
                <w:b/>
                <w:bCs/>
                <w:sz w:val="28"/>
                <w:szCs w:val="28"/>
              </w:rPr>
              <w:t>和要求</w:t>
            </w:r>
          </w:p>
          <w:p>
            <w:pPr>
              <w:pStyle w:val="20"/>
              <w:adjustRightInd w:val="0"/>
              <w:snapToGrid w:val="0"/>
              <w:ind w:firstLine="480" w:firstLineChars="200"/>
              <w:rPr>
                <w:szCs w:val="24"/>
              </w:rPr>
            </w:pPr>
            <w:r>
              <w:rPr>
                <w:szCs w:val="24"/>
              </w:rPr>
              <w:t>1、</w:t>
            </w:r>
            <w:r>
              <w:rPr>
                <w:rFonts w:hint="eastAsia"/>
                <w:szCs w:val="24"/>
              </w:rPr>
              <w:t>严格落实本项目提出的环保对策措施，尤其是噪声及臭气污染防治措施，</w:t>
            </w:r>
            <w:r>
              <w:rPr>
                <w:rFonts w:hint="eastAsia" w:ascii="Times New Roman" w:hAnsi="Times New Roman"/>
                <w:color w:val="auto"/>
                <w:szCs w:val="24"/>
              </w:rPr>
              <w:t>生产运营过程中及时做好与附近居民的沟通访问调查，及时了解本项目对居民的影响程度，并根据实际情况改进废气和噪声措施</w:t>
            </w:r>
            <w:r>
              <w:rPr>
                <w:rFonts w:hint="eastAsia"/>
                <w:color w:val="auto"/>
              </w:rPr>
              <w:t>。</w:t>
            </w:r>
          </w:p>
          <w:p>
            <w:pPr>
              <w:adjustRightInd w:val="0"/>
              <w:snapToGrid w:val="0"/>
              <w:spacing w:line="360" w:lineRule="auto"/>
              <w:ind w:firstLine="480" w:firstLineChars="200"/>
              <w:rPr>
                <w:szCs w:val="24"/>
              </w:rPr>
            </w:pPr>
            <w:r>
              <w:rPr>
                <w:rFonts w:hint="eastAsia"/>
                <w:szCs w:val="24"/>
              </w:rPr>
              <w:t>2、根据《排污许可管理办法（试行）》（环境保护部令第48号 2018年1月10日）及</w:t>
            </w:r>
            <w:bookmarkStart w:id="29" w:name="_Hlk40647682"/>
            <w:r>
              <w:rPr>
                <w:rFonts w:hint="eastAsia"/>
                <w:szCs w:val="24"/>
              </w:rPr>
              <w:t>《固定污染源排污许可分类管理名录（2019年版）》（中华人民共和国生态环境部令 第1</w:t>
            </w:r>
            <w:r>
              <w:rPr>
                <w:szCs w:val="24"/>
              </w:rPr>
              <w:t>1</w:t>
            </w:r>
            <w:r>
              <w:rPr>
                <w:rFonts w:hint="eastAsia"/>
                <w:szCs w:val="24"/>
              </w:rPr>
              <w:t>号）</w:t>
            </w:r>
            <w:bookmarkEnd w:id="29"/>
            <w:r>
              <w:rPr>
                <w:rFonts w:hint="eastAsia"/>
                <w:szCs w:val="24"/>
              </w:rPr>
              <w:t>，本项目属于纳入固定源排污许可分类管理名录中实行排污许可简化管理的企业。按照相关要求，项目在产生实际排污行为之前，必须先进行排污许可证的申领工作。本项目属于未批先建，目前已正常运行，因此，必须及时完善排污许可工作。</w:t>
            </w:r>
          </w:p>
          <w:p>
            <w:pPr>
              <w:adjustRightInd w:val="0"/>
              <w:snapToGrid w:val="0"/>
              <w:spacing w:line="360" w:lineRule="auto"/>
              <w:ind w:firstLine="480" w:firstLineChars="200"/>
              <w:rPr>
                <w:szCs w:val="24"/>
              </w:rPr>
            </w:pPr>
            <w:r>
              <w:rPr>
                <w:rFonts w:hint="eastAsia"/>
                <w:szCs w:val="24"/>
              </w:rPr>
              <w:t>3、根据</w:t>
            </w:r>
            <w:bookmarkStart w:id="30" w:name="_Hlk40649427"/>
            <w:r>
              <w:rPr>
                <w:rFonts w:hint="eastAsia"/>
                <w:szCs w:val="24"/>
              </w:rPr>
              <w:t>《建设项目竣工环境保护验收管理办法》（国家环境保护总局令第1</w:t>
            </w:r>
            <w:r>
              <w:rPr>
                <w:szCs w:val="24"/>
              </w:rPr>
              <w:t>3</w:t>
            </w:r>
            <w:r>
              <w:rPr>
                <w:rFonts w:hint="eastAsia"/>
                <w:szCs w:val="24"/>
              </w:rPr>
              <w:t>号）</w:t>
            </w:r>
            <w:bookmarkEnd w:id="30"/>
            <w:r>
              <w:rPr>
                <w:rFonts w:hint="eastAsia"/>
                <w:szCs w:val="24"/>
              </w:rPr>
              <w:t>及《建设项目竣工环境保护验收暂行办法》（国环规环评〔20</w:t>
            </w:r>
            <w:r>
              <w:rPr>
                <w:szCs w:val="24"/>
              </w:rPr>
              <w:t>17</w:t>
            </w:r>
            <w:r>
              <w:rPr>
                <w:rFonts w:hint="eastAsia"/>
                <w:szCs w:val="24"/>
              </w:rPr>
              <w:t>〕</w:t>
            </w:r>
            <w:r>
              <w:rPr>
                <w:szCs w:val="24"/>
              </w:rPr>
              <w:t>4</w:t>
            </w:r>
            <w:r>
              <w:rPr>
                <w:rFonts w:hint="eastAsia"/>
                <w:szCs w:val="24"/>
              </w:rPr>
              <w:t>号），项目主体工程正式投入生产或使用之前，应当及时组织竣工环境保护验收，未经验收或是验收不合格的，不得投入生产或使用。本项目属于未批先建，目前已正常运行，因此，应当在环评手续结束之后，及时开展自主验收。</w:t>
            </w:r>
          </w:p>
          <w:p>
            <w:pPr>
              <w:adjustRightInd w:val="0"/>
              <w:snapToGrid w:val="0"/>
              <w:spacing w:line="360" w:lineRule="auto"/>
              <w:ind w:firstLine="480" w:firstLineChars="200"/>
              <w:rPr>
                <w:szCs w:val="24"/>
              </w:rPr>
            </w:pPr>
            <w:r>
              <w:rPr>
                <w:rFonts w:hint="eastAsia"/>
                <w:szCs w:val="24"/>
              </w:rPr>
              <w:t>4、</w:t>
            </w:r>
            <w:r>
              <w:rPr>
                <w:szCs w:val="24"/>
              </w:rPr>
              <w:t>加强</w:t>
            </w:r>
            <w:r>
              <w:rPr>
                <w:rFonts w:hint="eastAsia"/>
                <w:szCs w:val="24"/>
              </w:rPr>
              <w:t>运营期</w:t>
            </w:r>
            <w:r>
              <w:rPr>
                <w:szCs w:val="24"/>
              </w:rPr>
              <w:t>环境管理工作，主要包括：①</w:t>
            </w:r>
            <w:r>
              <w:rPr>
                <w:rFonts w:hint="eastAsia"/>
                <w:szCs w:val="24"/>
              </w:rPr>
              <w:t>建立健全污水厂的</w:t>
            </w:r>
            <w:r>
              <w:rPr>
                <w:szCs w:val="24"/>
              </w:rPr>
              <w:t>运行管理体制</w:t>
            </w:r>
            <w:r>
              <w:rPr>
                <w:rFonts w:hint="eastAsia"/>
                <w:szCs w:val="24"/>
              </w:rPr>
              <w:t>；</w:t>
            </w:r>
            <w:r>
              <w:rPr>
                <w:szCs w:val="24"/>
              </w:rPr>
              <w:t>②</w:t>
            </w:r>
            <w:r>
              <w:rPr>
                <w:rFonts w:hint="eastAsia"/>
                <w:szCs w:val="24"/>
              </w:rPr>
              <w:t>做好危废、污泥、格栅渣等的清运台账记录；③做好各类药剂购买、使用的台账记录</w:t>
            </w:r>
            <w:r>
              <w:rPr>
                <w:szCs w:val="24"/>
              </w:rPr>
              <w:t>。</w:t>
            </w:r>
          </w:p>
          <w:p>
            <w:pPr>
              <w:adjustRightInd w:val="0"/>
              <w:snapToGrid w:val="0"/>
              <w:spacing w:line="360" w:lineRule="auto"/>
              <w:ind w:firstLine="480" w:firstLineChars="200"/>
              <w:rPr>
                <w:szCs w:val="24"/>
              </w:rPr>
            </w:pPr>
          </w:p>
        </w:tc>
      </w:tr>
      <w:bookmarkEnd w:id="27"/>
    </w:tbl>
    <w:p>
      <w:pPr>
        <w:pStyle w:val="23"/>
        <w:sectPr>
          <w:pgSz w:w="11906" w:h="16838"/>
          <w:pgMar w:top="1361" w:right="1531" w:bottom="794" w:left="1531" w:header="851" w:footer="737" w:gutter="0"/>
          <w:cols w:space="720" w:num="1"/>
          <w:docGrid w:type="lines" w:linePitch="312" w:charSpace="0"/>
        </w:sectPr>
      </w:pPr>
    </w:p>
    <w:tbl>
      <w:tblPr>
        <w:tblStyle w:val="37"/>
        <w:tblpPr w:leftFromText="180" w:rightFromText="180" w:vertAnchor="text" w:horzAnchor="margin" w:tblpX="162" w:tblpY="314"/>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5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750" w:type="dxa"/>
          </w:tcPr>
          <w:p>
            <w:pPr>
              <w:rPr>
                <w:sz w:val="28"/>
                <w:szCs w:val="28"/>
              </w:rPr>
            </w:pPr>
            <w:r>
              <w:rPr>
                <w:sz w:val="28"/>
                <w:szCs w:val="28"/>
              </w:rPr>
              <w:t>预审意见：</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公　章</w:t>
            </w:r>
          </w:p>
          <w:p>
            <w:pPr>
              <w:rPr>
                <w:sz w:val="28"/>
                <w:szCs w:val="28"/>
              </w:rPr>
            </w:pPr>
            <w:r>
              <w:rPr>
                <w:sz w:val="28"/>
                <w:szCs w:val="28"/>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75" w:hRule="atLeast"/>
        </w:trPr>
        <w:tc>
          <w:tcPr>
            <w:tcW w:w="8750" w:type="dxa"/>
          </w:tcPr>
          <w:p>
            <w:pPr>
              <w:rPr>
                <w:sz w:val="28"/>
                <w:szCs w:val="28"/>
              </w:rPr>
            </w:pPr>
            <w:r>
              <w:rPr>
                <w:sz w:val="28"/>
                <w:szCs w:val="28"/>
              </w:rPr>
              <w:t>下一级环境保护行政主管部门审查意见：</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公　章</w:t>
            </w:r>
          </w:p>
          <w:p>
            <w:pPr>
              <w:rPr>
                <w:sz w:val="28"/>
                <w:szCs w:val="28"/>
              </w:rPr>
            </w:pPr>
            <w:r>
              <w:rPr>
                <w:sz w:val="28"/>
                <w:szCs w:val="28"/>
              </w:rPr>
              <w:t>经办人：　　　　　　　　　　　　　　　　年　　月　　日</w:t>
            </w:r>
          </w:p>
          <w:p>
            <w:pPr>
              <w:rPr>
                <w:sz w:val="28"/>
                <w:szCs w:val="28"/>
              </w:rPr>
            </w:pPr>
          </w:p>
        </w:tc>
      </w:tr>
    </w:tbl>
    <w:p>
      <w:pPr>
        <w:spacing w:line="360" w:lineRule="auto"/>
        <w:rPr>
          <w:rFonts w:eastAsia="黑体"/>
        </w:rPr>
      </w:pPr>
    </w:p>
    <w:tbl>
      <w:tblPr>
        <w:tblStyle w:val="37"/>
        <w:tblW w:w="0" w:type="auto"/>
        <w:tblInd w:w="126"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7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90" w:hRule="atLeast"/>
        </w:trPr>
        <w:tc>
          <w:tcPr>
            <w:tcW w:w="8773" w:type="dxa"/>
          </w:tcPr>
          <w:p>
            <w:pPr>
              <w:spacing w:line="360" w:lineRule="auto"/>
              <w:rPr>
                <w:sz w:val="28"/>
                <w:szCs w:val="28"/>
              </w:rPr>
            </w:pPr>
            <w:r>
              <w:rPr>
                <w:sz w:val="28"/>
                <w:szCs w:val="28"/>
              </w:rPr>
              <w:t>审批意见：</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sz w:val="28"/>
                <w:szCs w:val="28"/>
              </w:rPr>
              <w:t>　　　　　　　　　　　　　　　　　　　　公　章</w:t>
            </w:r>
          </w:p>
          <w:p>
            <w:pPr>
              <w:spacing w:line="360" w:lineRule="auto"/>
              <w:rPr>
                <w:sz w:val="28"/>
                <w:szCs w:val="28"/>
              </w:rPr>
            </w:pPr>
            <w:r>
              <w:rPr>
                <w:sz w:val="28"/>
                <w:szCs w:val="28"/>
              </w:rPr>
              <w:t>经办人：　　　　　　　　　　　　　　 　年　 月 　日</w:t>
            </w:r>
          </w:p>
        </w:tc>
      </w:tr>
      <w:bookmarkEnd w:id="1"/>
    </w:tbl>
    <w:p/>
    <w:sectPr>
      <w:pgSz w:w="11906" w:h="16838"/>
      <w:pgMar w:top="1361" w:right="1531" w:bottom="794" w:left="1531" w:header="851"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PMingLiU">
    <w:altName w:val="Microsoft JhengHei"/>
    <w:panose1 w:val="02020500000000000000"/>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MS PGothic">
    <w:altName w:val="Meiryo UI"/>
    <w:panose1 w:val="020B0600070205080204"/>
    <w:charset w:val="80"/>
    <w:family w:val="swiss"/>
    <w:pitch w:val="default"/>
    <w:sig w:usb0="00000000" w:usb1="00000000" w:usb2="00000012" w:usb3="00000000" w:csb0="0002009F" w:csb1="00000000"/>
  </w:font>
  <w:font w:name="Meiryo UI">
    <w:panose1 w:val="020B0604030504040204"/>
    <w:charset w:val="80"/>
    <w:family w:val="auto"/>
    <w:pitch w:val="default"/>
    <w:sig w:usb0="E10102FF" w:usb1="EAC7FFFF" w:usb2="00010012" w:usb3="00000000" w:csb0="6002009F" w:csb1="DFD70000"/>
  </w:font>
  <w:font w:name="ArialUnicodeMS">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5233"/>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文本框 2050" o:spid="_x0000_s307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U+X26zAEAAHoDAAAOAAAAAAAAAAEAIAAAAB4BAABkcnMvZTJv&#10;RG9jLnhtbFBLBQYAAAAABgAGAFkBAABcBQ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2051" o:spid="_x0000_s307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2052" o:spid="_x0000_s307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8D0688"/>
    <w:multiLevelType w:val="singleLevel"/>
    <w:tmpl w:val="F48D0688"/>
    <w:lvl w:ilvl="0" w:tentative="0">
      <w:start w:val="2"/>
      <w:numFmt w:val="decimal"/>
      <w:suff w:val="nothing"/>
      <w:lvlText w:val="（%1）"/>
      <w:lvlJc w:val="left"/>
    </w:lvl>
  </w:abstractNum>
  <w:abstractNum w:abstractNumId="1">
    <w:nsid w:val="5DD38959"/>
    <w:multiLevelType w:val="singleLevel"/>
    <w:tmpl w:val="5DD38959"/>
    <w:lvl w:ilvl="0" w:tentative="0">
      <w:start w:val="1"/>
      <w:numFmt w:val="decimal"/>
      <w:suff w:val="nothing"/>
      <w:lvlText w:val="%1、"/>
      <w:lvlJc w:val="left"/>
    </w:lvl>
  </w:abstractNum>
  <w:abstractNum w:abstractNumId="2">
    <w:nsid w:val="5DD38CA6"/>
    <w:multiLevelType w:val="singleLevel"/>
    <w:tmpl w:val="5DD38CA6"/>
    <w:lvl w:ilvl="0" w:tentative="0">
      <w:start w:val="1"/>
      <w:numFmt w:val="decimal"/>
      <w:suff w:val="nothing"/>
      <w:lvlText w:val="%1、"/>
      <w:lvlJc w:val="left"/>
    </w:lvl>
  </w:abstractNum>
  <w:abstractNum w:abstractNumId="3">
    <w:nsid w:val="5F5B2219"/>
    <w:multiLevelType w:val="singleLevel"/>
    <w:tmpl w:val="5F5B2219"/>
    <w:lvl w:ilvl="0" w:tentative="0">
      <w:start w:val="2"/>
      <w:numFmt w:val="chineseCounting"/>
      <w:suff w:val="nothing"/>
      <w:lvlText w:val="（%1）"/>
      <w:lvlJc w:val="left"/>
    </w:lvl>
  </w:abstractNum>
  <w:abstractNum w:abstractNumId="4">
    <w:nsid w:val="5F5B2259"/>
    <w:multiLevelType w:val="singleLevel"/>
    <w:tmpl w:val="5F5B2259"/>
    <w:lvl w:ilvl="0" w:tentative="0">
      <w:start w:val="1"/>
      <w:numFmt w:val="decimal"/>
      <w:suff w:val="nothing"/>
      <w:lvlText w:val="%1、"/>
      <w:lvlJc w:val="left"/>
    </w:lvl>
  </w:abstractNum>
  <w:abstractNum w:abstractNumId="5">
    <w:nsid w:val="5F5B2287"/>
    <w:multiLevelType w:val="singleLevel"/>
    <w:tmpl w:val="5F5B2287"/>
    <w:lvl w:ilvl="0" w:tentative="0">
      <w:start w:val="1"/>
      <w:numFmt w:val="decimal"/>
      <w:suff w:val="nothing"/>
      <w:lvlText w:val="（%1）"/>
      <w:lvlJc w:val="left"/>
    </w:lvl>
  </w:abstractNum>
  <w:abstractNum w:abstractNumId="6">
    <w:nsid w:val="5F6D4EF7"/>
    <w:multiLevelType w:val="singleLevel"/>
    <w:tmpl w:val="5F6D4EF7"/>
    <w:lvl w:ilvl="0" w:tentative="0">
      <w:start w:val="3"/>
      <w:numFmt w:val="decimal"/>
      <w:suff w:val="nothing"/>
      <w:lvlText w:val="（%1）"/>
      <w:lvlJc w:val="left"/>
    </w:lvl>
  </w:abstractNum>
  <w:abstractNum w:abstractNumId="7">
    <w:nsid w:val="5F6DB8C3"/>
    <w:multiLevelType w:val="singleLevel"/>
    <w:tmpl w:val="5F6DB8C3"/>
    <w:lvl w:ilvl="0" w:tentative="0">
      <w:start w:val="2"/>
      <w:numFmt w:val="chineseCounting"/>
      <w:suff w:val="nothing"/>
      <w:lvlText w:val="（%1）"/>
      <w:lvlJc w:val="left"/>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2"/>
  </w:compat>
  <w:rsids>
    <w:rsidRoot w:val="00172A27"/>
    <w:rsid w:val="00011DE2"/>
    <w:rsid w:val="00012F69"/>
    <w:rsid w:val="0002783C"/>
    <w:rsid w:val="00031B23"/>
    <w:rsid w:val="00034C67"/>
    <w:rsid w:val="00046E82"/>
    <w:rsid w:val="0005721A"/>
    <w:rsid w:val="00073117"/>
    <w:rsid w:val="00073FC6"/>
    <w:rsid w:val="0009105F"/>
    <w:rsid w:val="00091D4F"/>
    <w:rsid w:val="000B5611"/>
    <w:rsid w:val="000C4DB0"/>
    <w:rsid w:val="000D5C50"/>
    <w:rsid w:val="000E3403"/>
    <w:rsid w:val="00102A07"/>
    <w:rsid w:val="001056E6"/>
    <w:rsid w:val="0011052B"/>
    <w:rsid w:val="00127DE3"/>
    <w:rsid w:val="0013398D"/>
    <w:rsid w:val="00134DA3"/>
    <w:rsid w:val="00144945"/>
    <w:rsid w:val="00152755"/>
    <w:rsid w:val="00155D52"/>
    <w:rsid w:val="00160354"/>
    <w:rsid w:val="00160EFE"/>
    <w:rsid w:val="001661A3"/>
    <w:rsid w:val="00172A27"/>
    <w:rsid w:val="001813DE"/>
    <w:rsid w:val="001918DE"/>
    <w:rsid w:val="0019267F"/>
    <w:rsid w:val="0019649D"/>
    <w:rsid w:val="001A5FAD"/>
    <w:rsid w:val="001B1893"/>
    <w:rsid w:val="001B29A2"/>
    <w:rsid w:val="001B5B07"/>
    <w:rsid w:val="001C377E"/>
    <w:rsid w:val="001C594F"/>
    <w:rsid w:val="001C5E98"/>
    <w:rsid w:val="001D3166"/>
    <w:rsid w:val="001D39C3"/>
    <w:rsid w:val="001F1F21"/>
    <w:rsid w:val="001F49FB"/>
    <w:rsid w:val="002040A7"/>
    <w:rsid w:val="002072B9"/>
    <w:rsid w:val="00220BF7"/>
    <w:rsid w:val="00221349"/>
    <w:rsid w:val="00230618"/>
    <w:rsid w:val="002340E4"/>
    <w:rsid w:val="00237E00"/>
    <w:rsid w:val="00260349"/>
    <w:rsid w:val="00260DC6"/>
    <w:rsid w:val="00262BA4"/>
    <w:rsid w:val="002663AC"/>
    <w:rsid w:val="00273213"/>
    <w:rsid w:val="00276DD4"/>
    <w:rsid w:val="00283502"/>
    <w:rsid w:val="00291F38"/>
    <w:rsid w:val="00294581"/>
    <w:rsid w:val="0029700F"/>
    <w:rsid w:val="002A116B"/>
    <w:rsid w:val="002A66D1"/>
    <w:rsid w:val="002B3E46"/>
    <w:rsid w:val="002B5594"/>
    <w:rsid w:val="002B566B"/>
    <w:rsid w:val="002C2830"/>
    <w:rsid w:val="002C2CF3"/>
    <w:rsid w:val="002C6304"/>
    <w:rsid w:val="002E20E8"/>
    <w:rsid w:val="002E2931"/>
    <w:rsid w:val="002F05E1"/>
    <w:rsid w:val="002F522F"/>
    <w:rsid w:val="00301595"/>
    <w:rsid w:val="0030426D"/>
    <w:rsid w:val="00310E91"/>
    <w:rsid w:val="00322932"/>
    <w:rsid w:val="003245D5"/>
    <w:rsid w:val="00327271"/>
    <w:rsid w:val="00332A3F"/>
    <w:rsid w:val="003376A8"/>
    <w:rsid w:val="003418E0"/>
    <w:rsid w:val="003454C5"/>
    <w:rsid w:val="00350270"/>
    <w:rsid w:val="00353F11"/>
    <w:rsid w:val="00375CE7"/>
    <w:rsid w:val="00377A05"/>
    <w:rsid w:val="00380AE5"/>
    <w:rsid w:val="00390797"/>
    <w:rsid w:val="003B1269"/>
    <w:rsid w:val="003B23DD"/>
    <w:rsid w:val="003B372A"/>
    <w:rsid w:val="003C1F4F"/>
    <w:rsid w:val="003D3725"/>
    <w:rsid w:val="003D4495"/>
    <w:rsid w:val="003D4CE7"/>
    <w:rsid w:val="003D72DB"/>
    <w:rsid w:val="003E2369"/>
    <w:rsid w:val="003F3749"/>
    <w:rsid w:val="003F4657"/>
    <w:rsid w:val="003F54FD"/>
    <w:rsid w:val="004046ED"/>
    <w:rsid w:val="00405702"/>
    <w:rsid w:val="00406288"/>
    <w:rsid w:val="004175BA"/>
    <w:rsid w:val="004314E6"/>
    <w:rsid w:val="004345EF"/>
    <w:rsid w:val="00440593"/>
    <w:rsid w:val="00466F13"/>
    <w:rsid w:val="00484111"/>
    <w:rsid w:val="00490435"/>
    <w:rsid w:val="004A0AF0"/>
    <w:rsid w:val="004A4BF7"/>
    <w:rsid w:val="004A7232"/>
    <w:rsid w:val="004D4C8D"/>
    <w:rsid w:val="004E508E"/>
    <w:rsid w:val="004F6327"/>
    <w:rsid w:val="00517104"/>
    <w:rsid w:val="00523A38"/>
    <w:rsid w:val="0053376E"/>
    <w:rsid w:val="00546F31"/>
    <w:rsid w:val="00562A3C"/>
    <w:rsid w:val="00567FE8"/>
    <w:rsid w:val="00587B7A"/>
    <w:rsid w:val="00590384"/>
    <w:rsid w:val="005A15B3"/>
    <w:rsid w:val="005B3F0E"/>
    <w:rsid w:val="005B68C8"/>
    <w:rsid w:val="005C7F6A"/>
    <w:rsid w:val="005E07FA"/>
    <w:rsid w:val="005E0D64"/>
    <w:rsid w:val="005E1D7D"/>
    <w:rsid w:val="005F50A3"/>
    <w:rsid w:val="00602A2A"/>
    <w:rsid w:val="00604445"/>
    <w:rsid w:val="0061703B"/>
    <w:rsid w:val="0061768B"/>
    <w:rsid w:val="006250C9"/>
    <w:rsid w:val="006266E7"/>
    <w:rsid w:val="006518F3"/>
    <w:rsid w:val="00655A45"/>
    <w:rsid w:val="00673F86"/>
    <w:rsid w:val="00674A67"/>
    <w:rsid w:val="00681F27"/>
    <w:rsid w:val="006B7D12"/>
    <w:rsid w:val="006D17ED"/>
    <w:rsid w:val="006E4149"/>
    <w:rsid w:val="006E5345"/>
    <w:rsid w:val="006F27E7"/>
    <w:rsid w:val="0070276A"/>
    <w:rsid w:val="00712D63"/>
    <w:rsid w:val="007137FB"/>
    <w:rsid w:val="00722D7E"/>
    <w:rsid w:val="007274E5"/>
    <w:rsid w:val="00740EAC"/>
    <w:rsid w:val="00751881"/>
    <w:rsid w:val="00753A13"/>
    <w:rsid w:val="00762B69"/>
    <w:rsid w:val="007935CF"/>
    <w:rsid w:val="00796A5F"/>
    <w:rsid w:val="007B2269"/>
    <w:rsid w:val="007B5011"/>
    <w:rsid w:val="007B708E"/>
    <w:rsid w:val="007C1E3D"/>
    <w:rsid w:val="007C543C"/>
    <w:rsid w:val="007C74CD"/>
    <w:rsid w:val="007D2A98"/>
    <w:rsid w:val="007D53DE"/>
    <w:rsid w:val="007D7330"/>
    <w:rsid w:val="007F2D01"/>
    <w:rsid w:val="007F5FE8"/>
    <w:rsid w:val="00807CB9"/>
    <w:rsid w:val="00813400"/>
    <w:rsid w:val="0081631A"/>
    <w:rsid w:val="00820C7B"/>
    <w:rsid w:val="00823E95"/>
    <w:rsid w:val="008350E0"/>
    <w:rsid w:val="00840CFE"/>
    <w:rsid w:val="00846C44"/>
    <w:rsid w:val="00864C46"/>
    <w:rsid w:val="008735F4"/>
    <w:rsid w:val="008933CE"/>
    <w:rsid w:val="00894F9F"/>
    <w:rsid w:val="0089708E"/>
    <w:rsid w:val="008A657F"/>
    <w:rsid w:val="008B67D9"/>
    <w:rsid w:val="008C2762"/>
    <w:rsid w:val="008D08C1"/>
    <w:rsid w:val="008D55BB"/>
    <w:rsid w:val="008E0F3E"/>
    <w:rsid w:val="008E41E8"/>
    <w:rsid w:val="008F28EB"/>
    <w:rsid w:val="008F799D"/>
    <w:rsid w:val="009110EA"/>
    <w:rsid w:val="00914B69"/>
    <w:rsid w:val="00923ABD"/>
    <w:rsid w:val="00932EFD"/>
    <w:rsid w:val="00934EFA"/>
    <w:rsid w:val="00941BA2"/>
    <w:rsid w:val="00944749"/>
    <w:rsid w:val="00946143"/>
    <w:rsid w:val="0094740E"/>
    <w:rsid w:val="00964815"/>
    <w:rsid w:val="00966FF5"/>
    <w:rsid w:val="00974CA3"/>
    <w:rsid w:val="00976981"/>
    <w:rsid w:val="0097744F"/>
    <w:rsid w:val="0099580A"/>
    <w:rsid w:val="00997C54"/>
    <w:rsid w:val="009A1778"/>
    <w:rsid w:val="009A3883"/>
    <w:rsid w:val="009B5F63"/>
    <w:rsid w:val="009C30BC"/>
    <w:rsid w:val="009D04FC"/>
    <w:rsid w:val="009E3590"/>
    <w:rsid w:val="009F5ED9"/>
    <w:rsid w:val="00A16353"/>
    <w:rsid w:val="00A23A1A"/>
    <w:rsid w:val="00A25E9F"/>
    <w:rsid w:val="00A30F76"/>
    <w:rsid w:val="00A34996"/>
    <w:rsid w:val="00A36E1A"/>
    <w:rsid w:val="00A45963"/>
    <w:rsid w:val="00A45CAD"/>
    <w:rsid w:val="00A85616"/>
    <w:rsid w:val="00A85A5D"/>
    <w:rsid w:val="00A85EF5"/>
    <w:rsid w:val="00AB66A5"/>
    <w:rsid w:val="00AD56A7"/>
    <w:rsid w:val="00AD57BC"/>
    <w:rsid w:val="00AF125F"/>
    <w:rsid w:val="00AF1338"/>
    <w:rsid w:val="00AF3DAA"/>
    <w:rsid w:val="00AF527B"/>
    <w:rsid w:val="00B03FAB"/>
    <w:rsid w:val="00B1408A"/>
    <w:rsid w:val="00B1609A"/>
    <w:rsid w:val="00B208D7"/>
    <w:rsid w:val="00B23EE2"/>
    <w:rsid w:val="00B254DA"/>
    <w:rsid w:val="00B32353"/>
    <w:rsid w:val="00B500F9"/>
    <w:rsid w:val="00B50A17"/>
    <w:rsid w:val="00B65B03"/>
    <w:rsid w:val="00B723A1"/>
    <w:rsid w:val="00B733C1"/>
    <w:rsid w:val="00B7451E"/>
    <w:rsid w:val="00B76AA1"/>
    <w:rsid w:val="00B97F20"/>
    <w:rsid w:val="00BB2CAF"/>
    <w:rsid w:val="00BD6016"/>
    <w:rsid w:val="00BE1EBA"/>
    <w:rsid w:val="00BE345A"/>
    <w:rsid w:val="00BF23E9"/>
    <w:rsid w:val="00C029A0"/>
    <w:rsid w:val="00C06759"/>
    <w:rsid w:val="00C17404"/>
    <w:rsid w:val="00C23FC3"/>
    <w:rsid w:val="00C245CD"/>
    <w:rsid w:val="00C32A20"/>
    <w:rsid w:val="00C737BE"/>
    <w:rsid w:val="00C85BDA"/>
    <w:rsid w:val="00C85FA7"/>
    <w:rsid w:val="00C92A98"/>
    <w:rsid w:val="00C93EC4"/>
    <w:rsid w:val="00CA5F9C"/>
    <w:rsid w:val="00CB1C73"/>
    <w:rsid w:val="00CC312A"/>
    <w:rsid w:val="00CD5E68"/>
    <w:rsid w:val="00CF6F6B"/>
    <w:rsid w:val="00D00D3C"/>
    <w:rsid w:val="00D07F38"/>
    <w:rsid w:val="00D20236"/>
    <w:rsid w:val="00D26181"/>
    <w:rsid w:val="00D32399"/>
    <w:rsid w:val="00D41CA4"/>
    <w:rsid w:val="00D64DE7"/>
    <w:rsid w:val="00D706AB"/>
    <w:rsid w:val="00D91753"/>
    <w:rsid w:val="00DA49B9"/>
    <w:rsid w:val="00DA4B38"/>
    <w:rsid w:val="00DA6F56"/>
    <w:rsid w:val="00DB639A"/>
    <w:rsid w:val="00DC463A"/>
    <w:rsid w:val="00DE2716"/>
    <w:rsid w:val="00E0296D"/>
    <w:rsid w:val="00E02F49"/>
    <w:rsid w:val="00E0638B"/>
    <w:rsid w:val="00E126A8"/>
    <w:rsid w:val="00E126FD"/>
    <w:rsid w:val="00E208D0"/>
    <w:rsid w:val="00E226AA"/>
    <w:rsid w:val="00E229EC"/>
    <w:rsid w:val="00E25F18"/>
    <w:rsid w:val="00E33A66"/>
    <w:rsid w:val="00E3706C"/>
    <w:rsid w:val="00E37811"/>
    <w:rsid w:val="00E42B04"/>
    <w:rsid w:val="00E51EB0"/>
    <w:rsid w:val="00E52875"/>
    <w:rsid w:val="00E52C28"/>
    <w:rsid w:val="00E53F19"/>
    <w:rsid w:val="00E550F2"/>
    <w:rsid w:val="00E56F49"/>
    <w:rsid w:val="00E5705F"/>
    <w:rsid w:val="00E620B0"/>
    <w:rsid w:val="00E63EB6"/>
    <w:rsid w:val="00E72AEA"/>
    <w:rsid w:val="00E775F0"/>
    <w:rsid w:val="00E85776"/>
    <w:rsid w:val="00E858DA"/>
    <w:rsid w:val="00EA6490"/>
    <w:rsid w:val="00EB1F2E"/>
    <w:rsid w:val="00EB45A5"/>
    <w:rsid w:val="00EC1E2D"/>
    <w:rsid w:val="00EC4C14"/>
    <w:rsid w:val="00EC6DC2"/>
    <w:rsid w:val="00ED01A7"/>
    <w:rsid w:val="00ED0924"/>
    <w:rsid w:val="00ED237C"/>
    <w:rsid w:val="00ED5251"/>
    <w:rsid w:val="00EE1D06"/>
    <w:rsid w:val="00EE7688"/>
    <w:rsid w:val="00EF27BA"/>
    <w:rsid w:val="00EF2D8C"/>
    <w:rsid w:val="00F04064"/>
    <w:rsid w:val="00F05DC2"/>
    <w:rsid w:val="00F161D2"/>
    <w:rsid w:val="00F2055F"/>
    <w:rsid w:val="00F37286"/>
    <w:rsid w:val="00F47D0D"/>
    <w:rsid w:val="00F53FAB"/>
    <w:rsid w:val="00F5450A"/>
    <w:rsid w:val="00FA7702"/>
    <w:rsid w:val="00FB5303"/>
    <w:rsid w:val="00FB682C"/>
    <w:rsid w:val="00FB7928"/>
    <w:rsid w:val="00FC334D"/>
    <w:rsid w:val="00FC6A55"/>
    <w:rsid w:val="00FD0561"/>
    <w:rsid w:val="00FD0AF0"/>
    <w:rsid w:val="00FD401D"/>
    <w:rsid w:val="00FE1BBC"/>
    <w:rsid w:val="00FF41F3"/>
    <w:rsid w:val="010F29E2"/>
    <w:rsid w:val="01EF5EA0"/>
    <w:rsid w:val="02891305"/>
    <w:rsid w:val="03230F34"/>
    <w:rsid w:val="034E4DAF"/>
    <w:rsid w:val="03613651"/>
    <w:rsid w:val="040E4582"/>
    <w:rsid w:val="04B53D2C"/>
    <w:rsid w:val="04DF2DC4"/>
    <w:rsid w:val="05025C53"/>
    <w:rsid w:val="0522779A"/>
    <w:rsid w:val="05A0259F"/>
    <w:rsid w:val="06793E30"/>
    <w:rsid w:val="06B6080F"/>
    <w:rsid w:val="06E8317B"/>
    <w:rsid w:val="075567FB"/>
    <w:rsid w:val="07A47000"/>
    <w:rsid w:val="08255BCB"/>
    <w:rsid w:val="09270F43"/>
    <w:rsid w:val="099A290E"/>
    <w:rsid w:val="0A1D2161"/>
    <w:rsid w:val="0A50675B"/>
    <w:rsid w:val="0A835D6A"/>
    <w:rsid w:val="0B5A2D4A"/>
    <w:rsid w:val="0B7013A8"/>
    <w:rsid w:val="0B850AAC"/>
    <w:rsid w:val="0C7C3295"/>
    <w:rsid w:val="0CC04B83"/>
    <w:rsid w:val="0D013F1A"/>
    <w:rsid w:val="0D7555A5"/>
    <w:rsid w:val="0D8422B6"/>
    <w:rsid w:val="0D9058A9"/>
    <w:rsid w:val="0D9B635E"/>
    <w:rsid w:val="0DC40437"/>
    <w:rsid w:val="0DF1560E"/>
    <w:rsid w:val="0E4935E8"/>
    <w:rsid w:val="0E4E26ED"/>
    <w:rsid w:val="0E531110"/>
    <w:rsid w:val="0EB30903"/>
    <w:rsid w:val="0F1A119B"/>
    <w:rsid w:val="0F41564B"/>
    <w:rsid w:val="0F5A7C4F"/>
    <w:rsid w:val="0F84677F"/>
    <w:rsid w:val="0FB36FE2"/>
    <w:rsid w:val="103440C4"/>
    <w:rsid w:val="106524F4"/>
    <w:rsid w:val="106D60A6"/>
    <w:rsid w:val="10C73190"/>
    <w:rsid w:val="10F76365"/>
    <w:rsid w:val="10FF5E25"/>
    <w:rsid w:val="11DD2FDB"/>
    <w:rsid w:val="120A354C"/>
    <w:rsid w:val="124A6E2E"/>
    <w:rsid w:val="124F3482"/>
    <w:rsid w:val="12822481"/>
    <w:rsid w:val="12C570F7"/>
    <w:rsid w:val="133366B4"/>
    <w:rsid w:val="133945E7"/>
    <w:rsid w:val="137A4E33"/>
    <w:rsid w:val="139A51BC"/>
    <w:rsid w:val="13E52E54"/>
    <w:rsid w:val="146A7737"/>
    <w:rsid w:val="15094720"/>
    <w:rsid w:val="15362FB9"/>
    <w:rsid w:val="155D40A4"/>
    <w:rsid w:val="157F31AA"/>
    <w:rsid w:val="15803DB9"/>
    <w:rsid w:val="158B2CB3"/>
    <w:rsid w:val="15E831A3"/>
    <w:rsid w:val="16DC7CD3"/>
    <w:rsid w:val="16FF5282"/>
    <w:rsid w:val="18310025"/>
    <w:rsid w:val="18745C1A"/>
    <w:rsid w:val="18D17575"/>
    <w:rsid w:val="18FA5F5C"/>
    <w:rsid w:val="19290796"/>
    <w:rsid w:val="19970964"/>
    <w:rsid w:val="199F46C0"/>
    <w:rsid w:val="1A3075AE"/>
    <w:rsid w:val="1AE05192"/>
    <w:rsid w:val="1B370193"/>
    <w:rsid w:val="1C8B6398"/>
    <w:rsid w:val="1CF831AE"/>
    <w:rsid w:val="1D2F5427"/>
    <w:rsid w:val="1D6E6D91"/>
    <w:rsid w:val="1D7069F7"/>
    <w:rsid w:val="1E1D0565"/>
    <w:rsid w:val="1EB2183F"/>
    <w:rsid w:val="1F187B35"/>
    <w:rsid w:val="20774913"/>
    <w:rsid w:val="21D26624"/>
    <w:rsid w:val="21F870A1"/>
    <w:rsid w:val="220B58B7"/>
    <w:rsid w:val="22221851"/>
    <w:rsid w:val="22282622"/>
    <w:rsid w:val="223C4A73"/>
    <w:rsid w:val="224462AC"/>
    <w:rsid w:val="23FE1D51"/>
    <w:rsid w:val="24101E45"/>
    <w:rsid w:val="24CC749A"/>
    <w:rsid w:val="25545BCA"/>
    <w:rsid w:val="264E3ADF"/>
    <w:rsid w:val="26C626E7"/>
    <w:rsid w:val="26D3254A"/>
    <w:rsid w:val="27204CE6"/>
    <w:rsid w:val="27AA364A"/>
    <w:rsid w:val="28641BCB"/>
    <w:rsid w:val="289D75C7"/>
    <w:rsid w:val="28F86071"/>
    <w:rsid w:val="29D12F30"/>
    <w:rsid w:val="29F23AF4"/>
    <w:rsid w:val="2A56044A"/>
    <w:rsid w:val="2AD47B63"/>
    <w:rsid w:val="2B8504BC"/>
    <w:rsid w:val="2BAB0CCF"/>
    <w:rsid w:val="2BB47A47"/>
    <w:rsid w:val="2BB83213"/>
    <w:rsid w:val="2C4254D7"/>
    <w:rsid w:val="2CB656F4"/>
    <w:rsid w:val="2CCF34E6"/>
    <w:rsid w:val="2DA95077"/>
    <w:rsid w:val="2DE145CB"/>
    <w:rsid w:val="2E4D5E32"/>
    <w:rsid w:val="2E673FC6"/>
    <w:rsid w:val="2EFF02CB"/>
    <w:rsid w:val="2F014373"/>
    <w:rsid w:val="2F6F4BCB"/>
    <w:rsid w:val="2F9B03F0"/>
    <w:rsid w:val="30172D4D"/>
    <w:rsid w:val="31111DF9"/>
    <w:rsid w:val="31466881"/>
    <w:rsid w:val="31E248E2"/>
    <w:rsid w:val="330C513E"/>
    <w:rsid w:val="330E61E0"/>
    <w:rsid w:val="33183819"/>
    <w:rsid w:val="332464E6"/>
    <w:rsid w:val="335416AB"/>
    <w:rsid w:val="336104A8"/>
    <w:rsid w:val="33810964"/>
    <w:rsid w:val="338308D9"/>
    <w:rsid w:val="33AC3E0E"/>
    <w:rsid w:val="33E22AF0"/>
    <w:rsid w:val="341C71BA"/>
    <w:rsid w:val="34D9672D"/>
    <w:rsid w:val="34E351B3"/>
    <w:rsid w:val="3595202C"/>
    <w:rsid w:val="35A4004C"/>
    <w:rsid w:val="35C709C6"/>
    <w:rsid w:val="35F1717B"/>
    <w:rsid w:val="361A3B67"/>
    <w:rsid w:val="36377741"/>
    <w:rsid w:val="363C0235"/>
    <w:rsid w:val="36610897"/>
    <w:rsid w:val="368B50E4"/>
    <w:rsid w:val="36AA6073"/>
    <w:rsid w:val="36E127FC"/>
    <w:rsid w:val="37462C6E"/>
    <w:rsid w:val="37B24BE9"/>
    <w:rsid w:val="38822337"/>
    <w:rsid w:val="38E453F0"/>
    <w:rsid w:val="391F10F4"/>
    <w:rsid w:val="393003BF"/>
    <w:rsid w:val="396C2791"/>
    <w:rsid w:val="396D1C32"/>
    <w:rsid w:val="39A3050A"/>
    <w:rsid w:val="39DB02D8"/>
    <w:rsid w:val="39F3563E"/>
    <w:rsid w:val="3A3C6670"/>
    <w:rsid w:val="3A533073"/>
    <w:rsid w:val="3A880187"/>
    <w:rsid w:val="3AD5091E"/>
    <w:rsid w:val="3AE8107D"/>
    <w:rsid w:val="3B235A45"/>
    <w:rsid w:val="3B2E10FA"/>
    <w:rsid w:val="3B834C51"/>
    <w:rsid w:val="3BBA27B8"/>
    <w:rsid w:val="3BD374C1"/>
    <w:rsid w:val="3BFC162E"/>
    <w:rsid w:val="3BFC649B"/>
    <w:rsid w:val="3C5845FD"/>
    <w:rsid w:val="3C8154FC"/>
    <w:rsid w:val="3CB40916"/>
    <w:rsid w:val="3CCE1C2C"/>
    <w:rsid w:val="3CDA46E3"/>
    <w:rsid w:val="3E2E2653"/>
    <w:rsid w:val="3EA1717F"/>
    <w:rsid w:val="3EDA4763"/>
    <w:rsid w:val="3EE10E42"/>
    <w:rsid w:val="3EE4131E"/>
    <w:rsid w:val="3F307355"/>
    <w:rsid w:val="3F5E5446"/>
    <w:rsid w:val="3FD36900"/>
    <w:rsid w:val="404A065F"/>
    <w:rsid w:val="40E23F8E"/>
    <w:rsid w:val="418328A6"/>
    <w:rsid w:val="418349D9"/>
    <w:rsid w:val="41E801EC"/>
    <w:rsid w:val="423562DF"/>
    <w:rsid w:val="431364DE"/>
    <w:rsid w:val="431F11F8"/>
    <w:rsid w:val="437F69EA"/>
    <w:rsid w:val="43AB6C85"/>
    <w:rsid w:val="445B61CB"/>
    <w:rsid w:val="44A07052"/>
    <w:rsid w:val="4515402F"/>
    <w:rsid w:val="45163D6C"/>
    <w:rsid w:val="453B3E34"/>
    <w:rsid w:val="46820FC3"/>
    <w:rsid w:val="46A465B0"/>
    <w:rsid w:val="479649D0"/>
    <w:rsid w:val="4800674E"/>
    <w:rsid w:val="481437FE"/>
    <w:rsid w:val="487A16F7"/>
    <w:rsid w:val="48FA6149"/>
    <w:rsid w:val="49043069"/>
    <w:rsid w:val="49736651"/>
    <w:rsid w:val="49DE1E90"/>
    <w:rsid w:val="49E34084"/>
    <w:rsid w:val="4AB26707"/>
    <w:rsid w:val="4AC11B84"/>
    <w:rsid w:val="4AC40337"/>
    <w:rsid w:val="4AC65DB2"/>
    <w:rsid w:val="4ACB4E50"/>
    <w:rsid w:val="4B280FE1"/>
    <w:rsid w:val="4BA13D5C"/>
    <w:rsid w:val="4BFA0C28"/>
    <w:rsid w:val="4C797D6B"/>
    <w:rsid w:val="4D187914"/>
    <w:rsid w:val="4D760B40"/>
    <w:rsid w:val="4E244209"/>
    <w:rsid w:val="4E2D18C7"/>
    <w:rsid w:val="4E3D42CC"/>
    <w:rsid w:val="4E3D4BB0"/>
    <w:rsid w:val="4E432703"/>
    <w:rsid w:val="4E4B30C0"/>
    <w:rsid w:val="4E9A7683"/>
    <w:rsid w:val="4FBC21CC"/>
    <w:rsid w:val="500D5610"/>
    <w:rsid w:val="505529B6"/>
    <w:rsid w:val="50AB0441"/>
    <w:rsid w:val="50CE2DA1"/>
    <w:rsid w:val="51093B03"/>
    <w:rsid w:val="514E6099"/>
    <w:rsid w:val="519A2DB0"/>
    <w:rsid w:val="51E72374"/>
    <w:rsid w:val="52055784"/>
    <w:rsid w:val="525E161D"/>
    <w:rsid w:val="528B11D8"/>
    <w:rsid w:val="52A14869"/>
    <w:rsid w:val="53461101"/>
    <w:rsid w:val="535A4C20"/>
    <w:rsid w:val="536A4AE0"/>
    <w:rsid w:val="53924DC1"/>
    <w:rsid w:val="53FB2F47"/>
    <w:rsid w:val="553360BC"/>
    <w:rsid w:val="55C97634"/>
    <w:rsid w:val="55D750F7"/>
    <w:rsid w:val="55DD7260"/>
    <w:rsid w:val="55E11F20"/>
    <w:rsid w:val="560159FA"/>
    <w:rsid w:val="561F0393"/>
    <w:rsid w:val="56430608"/>
    <w:rsid w:val="56633AB6"/>
    <w:rsid w:val="56AB6AC3"/>
    <w:rsid w:val="57571FC7"/>
    <w:rsid w:val="57655BEB"/>
    <w:rsid w:val="57F95502"/>
    <w:rsid w:val="584A136F"/>
    <w:rsid w:val="58604740"/>
    <w:rsid w:val="587E531A"/>
    <w:rsid w:val="591F12FC"/>
    <w:rsid w:val="59446710"/>
    <w:rsid w:val="597F535E"/>
    <w:rsid w:val="59DA50E5"/>
    <w:rsid w:val="5A392816"/>
    <w:rsid w:val="5A6B752B"/>
    <w:rsid w:val="5A6E2ED5"/>
    <w:rsid w:val="5A887F2A"/>
    <w:rsid w:val="5ABA309A"/>
    <w:rsid w:val="5B0B4BEB"/>
    <w:rsid w:val="5B1E41CF"/>
    <w:rsid w:val="5BBC3B7E"/>
    <w:rsid w:val="5C474621"/>
    <w:rsid w:val="5CFF61B3"/>
    <w:rsid w:val="5D2A6B65"/>
    <w:rsid w:val="5D94790F"/>
    <w:rsid w:val="5DDB5E20"/>
    <w:rsid w:val="5E1A66F6"/>
    <w:rsid w:val="5E4A4491"/>
    <w:rsid w:val="5EC209BB"/>
    <w:rsid w:val="5F8E79BC"/>
    <w:rsid w:val="5FB61643"/>
    <w:rsid w:val="5FD321B3"/>
    <w:rsid w:val="601921DA"/>
    <w:rsid w:val="606046DD"/>
    <w:rsid w:val="61377252"/>
    <w:rsid w:val="624C09C3"/>
    <w:rsid w:val="62680915"/>
    <w:rsid w:val="62D762DE"/>
    <w:rsid w:val="63D16540"/>
    <w:rsid w:val="63F03CEC"/>
    <w:rsid w:val="6418672F"/>
    <w:rsid w:val="6422163F"/>
    <w:rsid w:val="644E3AB9"/>
    <w:rsid w:val="648672E4"/>
    <w:rsid w:val="650145D1"/>
    <w:rsid w:val="659B5A37"/>
    <w:rsid w:val="65E776D6"/>
    <w:rsid w:val="66087A9D"/>
    <w:rsid w:val="66163692"/>
    <w:rsid w:val="662D5681"/>
    <w:rsid w:val="66374ECC"/>
    <w:rsid w:val="665A1750"/>
    <w:rsid w:val="665E7063"/>
    <w:rsid w:val="66C54B93"/>
    <w:rsid w:val="674B0C14"/>
    <w:rsid w:val="682C0E5A"/>
    <w:rsid w:val="683E2322"/>
    <w:rsid w:val="68485202"/>
    <w:rsid w:val="686228E8"/>
    <w:rsid w:val="68CB35C2"/>
    <w:rsid w:val="69A12D5F"/>
    <w:rsid w:val="69A41AE1"/>
    <w:rsid w:val="69CD11DF"/>
    <w:rsid w:val="6A600174"/>
    <w:rsid w:val="6A8706C3"/>
    <w:rsid w:val="6AD84CED"/>
    <w:rsid w:val="6B0D29B6"/>
    <w:rsid w:val="6B5C3544"/>
    <w:rsid w:val="6B97736F"/>
    <w:rsid w:val="6BE22CA5"/>
    <w:rsid w:val="6CFF42A0"/>
    <w:rsid w:val="6D2D03A1"/>
    <w:rsid w:val="6D885722"/>
    <w:rsid w:val="6E6123D7"/>
    <w:rsid w:val="6EAB2D49"/>
    <w:rsid w:val="6F3920DC"/>
    <w:rsid w:val="6F5B62C4"/>
    <w:rsid w:val="6F6E42BE"/>
    <w:rsid w:val="6F7A7067"/>
    <w:rsid w:val="6FAB1D8C"/>
    <w:rsid w:val="7012197F"/>
    <w:rsid w:val="70131582"/>
    <w:rsid w:val="707E4AA1"/>
    <w:rsid w:val="70C813F7"/>
    <w:rsid w:val="71451EC7"/>
    <w:rsid w:val="71CB310D"/>
    <w:rsid w:val="720510CD"/>
    <w:rsid w:val="72610410"/>
    <w:rsid w:val="72862D85"/>
    <w:rsid w:val="72A2570D"/>
    <w:rsid w:val="72E12C20"/>
    <w:rsid w:val="72F5281F"/>
    <w:rsid w:val="737A4404"/>
    <w:rsid w:val="73883842"/>
    <w:rsid w:val="74094ADC"/>
    <w:rsid w:val="74A24F36"/>
    <w:rsid w:val="74B90C8B"/>
    <w:rsid w:val="757B38CE"/>
    <w:rsid w:val="75D45549"/>
    <w:rsid w:val="760D1F65"/>
    <w:rsid w:val="764157EC"/>
    <w:rsid w:val="77A97237"/>
    <w:rsid w:val="77AD2614"/>
    <w:rsid w:val="77E4575B"/>
    <w:rsid w:val="783A5C28"/>
    <w:rsid w:val="79A23894"/>
    <w:rsid w:val="79BA5062"/>
    <w:rsid w:val="79ED5F79"/>
    <w:rsid w:val="79EE2E69"/>
    <w:rsid w:val="7A963E85"/>
    <w:rsid w:val="7AF17695"/>
    <w:rsid w:val="7AF5609B"/>
    <w:rsid w:val="7AFC7465"/>
    <w:rsid w:val="7BA17888"/>
    <w:rsid w:val="7CD279F2"/>
    <w:rsid w:val="7CFC5F38"/>
    <w:rsid w:val="7DDB60D0"/>
    <w:rsid w:val="7E3506ED"/>
    <w:rsid w:val="7E636EF2"/>
    <w:rsid w:val="7F570E05"/>
    <w:rsid w:val="7F702A2D"/>
    <w:rsid w:val="7F7A1CCC"/>
    <w:rsid w:val="7FC861F7"/>
    <w:rsid w:val="7FD44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onnector" idref="#自选图形 1028"/>
        <o:r id="V:Rule2" type="connector" idref="#自选图形 10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iPriority="99" w:semiHidden="0" w:name="annotation text"/>
    <w:lsdException w:qFormat="1" w:uiPriority="0" w:semiHidden="0" w:name="header"/>
    <w:lsdException w:qFormat="1" w:uiPriority="0" w:semiHidden="0" w:name="footer"/>
    <w:lsdException w:qFormat="1"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iPriority="0" w:semiHidden="0" w:name="Body Text First Indent"/>
    <w:lsdException w:uiPriority="0" w:name="Body Text First Indent 2"/>
    <w:lsdException w:uiPriority="0" w:name="Note Heading"/>
    <w:lsdException w:qFormat="1" w:uiPriority="0" w:semiHidden="0" w:name="Body Text 2"/>
    <w:lsdException w:uiPriority="0" w:name="Body Text 3"/>
    <w:lsdException w:qFormat="1" w:uiPriority="0" w:semiHidden="0" w:name="Body Text Indent 2"/>
    <w:lsdException w:qFormat="1" w:uiPriority="0" w:semiHidden="0" w:name="Body Text Indent 3"/>
    <w:lsdException w:qFormat="1" w:uiPriority="0" w:semiHidden="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0" w:name="E-mail Signature"/>
    <w:lsdException w:qFormat="1" w:uiPriority="99" w:semiHidden="0" w:name="Normal (Web)"/>
    <w:lsdException w:qFormat="1" w:uiPriority="0" w:semiHidden="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67"/>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link w:val="57"/>
    <w:qFormat/>
    <w:uiPriority w:val="9"/>
    <w:pPr>
      <w:keepNext/>
      <w:keepLines/>
      <w:spacing w:before="260" w:after="260" w:line="413" w:lineRule="auto"/>
      <w:outlineLvl w:val="2"/>
    </w:pPr>
    <w:rPr>
      <w:b/>
      <w:kern w:val="0"/>
      <w:sz w:val="32"/>
    </w:rPr>
  </w:style>
  <w:style w:type="paragraph" w:styleId="6">
    <w:name w:val="heading 4"/>
    <w:basedOn w:val="1"/>
    <w:next w:val="1"/>
    <w:qFormat/>
    <w:uiPriority w:val="9"/>
    <w:pPr>
      <w:keepNext/>
      <w:keepLines/>
      <w:outlineLvl w:val="3"/>
    </w:pPr>
    <w:rPr>
      <w:b/>
      <w:bCs/>
      <w:szCs w:val="28"/>
    </w:rPr>
  </w:style>
  <w:style w:type="paragraph" w:styleId="7">
    <w:name w:val="heading 8"/>
    <w:basedOn w:val="1"/>
    <w:next w:val="1"/>
    <w:qFormat/>
    <w:uiPriority w:val="9"/>
    <w:pPr>
      <w:jc w:val="left"/>
      <w:outlineLvl w:val="7"/>
    </w:pPr>
    <w:rPr>
      <w:sz w:val="21"/>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before="20" w:after="20"/>
      <w:jc w:val="center"/>
    </w:pPr>
  </w:style>
  <w:style w:type="paragraph" w:styleId="8">
    <w:name w:val="toc 7"/>
    <w:basedOn w:val="1"/>
    <w:next w:val="1"/>
    <w:unhideWhenUsed/>
    <w:qFormat/>
    <w:uiPriority w:val="39"/>
    <w:pPr>
      <w:ind w:left="2520" w:leftChars="1200"/>
    </w:pPr>
  </w:style>
  <w:style w:type="paragraph" w:styleId="9">
    <w:name w:val="Normal Indent"/>
    <w:basedOn w:val="1"/>
    <w:unhideWhenUsed/>
    <w:qFormat/>
    <w:uiPriority w:val="99"/>
    <w:pPr>
      <w:spacing w:line="300" w:lineRule="auto"/>
      <w:ind w:firstLine="200" w:firstLineChars="200"/>
      <w:jc w:val="left"/>
    </w:pPr>
    <w:rPr>
      <w:rFonts w:ascii="宋体" w:hAnsi="宋体" w:cs="宋体"/>
      <w:szCs w:val="24"/>
    </w:rPr>
  </w:style>
  <w:style w:type="paragraph" w:styleId="10">
    <w:name w:val="caption"/>
    <w:basedOn w:val="1"/>
    <w:next w:val="1"/>
    <w:qFormat/>
    <w:uiPriority w:val="35"/>
    <w:pPr>
      <w:spacing w:before="120" w:after="120"/>
      <w:jc w:val="center"/>
    </w:pPr>
    <w:rPr>
      <w:rFonts w:ascii="黑体" w:eastAsia="黑体"/>
      <w:b/>
      <w:bCs/>
    </w:rPr>
  </w:style>
  <w:style w:type="paragraph" w:styleId="11">
    <w:name w:val="Document Map"/>
    <w:basedOn w:val="1"/>
    <w:link w:val="53"/>
    <w:unhideWhenUsed/>
    <w:qFormat/>
    <w:uiPriority w:val="0"/>
    <w:rPr>
      <w:rFonts w:ascii="宋体"/>
      <w:sz w:val="18"/>
      <w:szCs w:val="18"/>
    </w:rPr>
  </w:style>
  <w:style w:type="paragraph" w:styleId="12">
    <w:name w:val="annotation text"/>
    <w:basedOn w:val="1"/>
    <w:link w:val="63"/>
    <w:unhideWhenUsed/>
    <w:qFormat/>
    <w:uiPriority w:val="99"/>
    <w:pPr>
      <w:jc w:val="left"/>
    </w:pPr>
    <w:rPr>
      <w:sz w:val="21"/>
    </w:rPr>
  </w:style>
  <w:style w:type="paragraph" w:styleId="13">
    <w:name w:val="Body Text Indent"/>
    <w:basedOn w:val="1"/>
    <w:unhideWhenUsed/>
    <w:qFormat/>
    <w:uiPriority w:val="0"/>
    <w:pPr>
      <w:spacing w:line="500" w:lineRule="atLeast"/>
      <w:ind w:firstLine="360"/>
    </w:pPr>
  </w:style>
  <w:style w:type="paragraph" w:styleId="14">
    <w:name w:val="Block Text"/>
    <w:basedOn w:val="1"/>
    <w:unhideWhenUsed/>
    <w:qFormat/>
    <w:uiPriority w:val="0"/>
    <w:pPr>
      <w:spacing w:line="480" w:lineRule="auto"/>
      <w:ind w:left="-357" w:right="-692" w:firstLine="539"/>
    </w:pPr>
    <w:rPr>
      <w:rFonts w:ascii="仿宋_GB2312" w:eastAsia="仿宋_GB2312"/>
      <w:sz w:val="28"/>
    </w:r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rPr>
  </w:style>
  <w:style w:type="paragraph" w:styleId="18">
    <w:name w:val="toc 8"/>
    <w:basedOn w:val="1"/>
    <w:next w:val="1"/>
    <w:unhideWhenUsed/>
    <w:qFormat/>
    <w:uiPriority w:val="39"/>
    <w:pPr>
      <w:ind w:left="2940" w:leftChars="1400"/>
    </w:pPr>
  </w:style>
  <w:style w:type="paragraph" w:styleId="19">
    <w:name w:val="Date"/>
    <w:basedOn w:val="1"/>
    <w:next w:val="1"/>
    <w:unhideWhenUsed/>
    <w:qFormat/>
    <w:uiPriority w:val="0"/>
  </w:style>
  <w:style w:type="paragraph" w:styleId="20">
    <w:name w:val="Body Text Indent 2"/>
    <w:basedOn w:val="1"/>
    <w:unhideWhenUsed/>
    <w:qFormat/>
    <w:uiPriority w:val="0"/>
    <w:pPr>
      <w:spacing w:line="360" w:lineRule="auto"/>
      <w:ind w:firstLine="515" w:firstLineChars="218"/>
    </w:pPr>
    <w:rPr>
      <w:rFonts w:ascii="宋体" w:hAnsi="宋体"/>
      <w:color w:val="000000"/>
    </w:rPr>
  </w:style>
  <w:style w:type="paragraph" w:styleId="21">
    <w:name w:val="Balloon Text"/>
    <w:basedOn w:val="1"/>
    <w:link w:val="61"/>
    <w:unhideWhenUsed/>
    <w:qFormat/>
    <w:uiPriority w:val="99"/>
    <w:rPr>
      <w:kern w:val="0"/>
      <w:sz w:val="18"/>
      <w:szCs w:val="18"/>
    </w:rPr>
  </w:style>
  <w:style w:type="paragraph" w:styleId="22">
    <w:name w:val="footer"/>
    <w:basedOn w:val="1"/>
    <w:unhideWhenUsed/>
    <w:qFormat/>
    <w:uiPriority w:val="0"/>
    <w:pPr>
      <w:tabs>
        <w:tab w:val="center" w:pos="4153"/>
        <w:tab w:val="right" w:pos="8306"/>
      </w:tabs>
      <w:snapToGrid w:val="0"/>
      <w:jc w:val="left"/>
    </w:pPr>
    <w:rPr>
      <w:sz w:val="18"/>
    </w:rPr>
  </w:style>
  <w:style w:type="paragraph" w:styleId="23">
    <w:name w:val="header"/>
    <w:basedOn w:val="1"/>
    <w:next w:val="24"/>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4">
    <w:name w:val="index heading"/>
    <w:basedOn w:val="1"/>
    <w:next w:val="25"/>
    <w:semiHidden/>
    <w:qFormat/>
    <w:uiPriority w:val="0"/>
    <w:pPr>
      <w:spacing w:before="120" w:after="120"/>
      <w:jc w:val="left"/>
    </w:pPr>
    <w:rPr>
      <w:b/>
      <w:bCs/>
      <w:i/>
      <w:iCs/>
      <w:sz w:val="20"/>
    </w:rPr>
  </w:style>
  <w:style w:type="paragraph" w:styleId="25">
    <w:name w:val="index 1"/>
    <w:basedOn w:val="1"/>
    <w:next w:val="1"/>
    <w:semiHidden/>
    <w:qFormat/>
    <w:uiPriority w:val="0"/>
    <w:pPr>
      <w:jc w:val="center"/>
    </w:pPr>
    <w:rPr>
      <w:spacing w:val="-14"/>
    </w:rPr>
  </w:style>
  <w:style w:type="paragraph" w:styleId="26">
    <w:name w:val="toc 1"/>
    <w:basedOn w:val="1"/>
    <w:next w:val="1"/>
    <w:unhideWhenUsed/>
    <w:qFormat/>
    <w:uiPriority w:val="39"/>
  </w:style>
  <w:style w:type="paragraph" w:styleId="27">
    <w:name w:val="toc 4"/>
    <w:basedOn w:val="1"/>
    <w:next w:val="1"/>
    <w:unhideWhenUsed/>
    <w:qFormat/>
    <w:uiPriority w:val="39"/>
    <w:pPr>
      <w:ind w:left="1260" w:leftChars="600"/>
    </w:pPr>
  </w:style>
  <w:style w:type="paragraph" w:styleId="28">
    <w:name w:val="List"/>
    <w:basedOn w:val="1"/>
    <w:unhideWhenUsed/>
    <w:qFormat/>
    <w:uiPriority w:val="0"/>
    <w:pPr>
      <w:ind w:left="200" w:hanging="200" w:hangingChars="200"/>
    </w:pPr>
  </w:style>
  <w:style w:type="paragraph" w:styleId="29">
    <w:name w:val="toc 6"/>
    <w:basedOn w:val="1"/>
    <w:next w:val="1"/>
    <w:unhideWhenUsed/>
    <w:qFormat/>
    <w:uiPriority w:val="39"/>
    <w:pPr>
      <w:ind w:left="2100" w:leftChars="1000"/>
    </w:pPr>
  </w:style>
  <w:style w:type="paragraph" w:styleId="30">
    <w:name w:val="Body Text Indent 3"/>
    <w:basedOn w:val="1"/>
    <w:unhideWhenUsed/>
    <w:qFormat/>
    <w:uiPriority w:val="0"/>
    <w:pPr>
      <w:spacing w:line="460" w:lineRule="exact"/>
      <w:ind w:firstLine="360" w:firstLineChars="150"/>
    </w:p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Body Text 2"/>
    <w:basedOn w:val="1"/>
    <w:unhideWhenUsed/>
    <w:qFormat/>
    <w:uiPriority w:val="0"/>
    <w:pPr>
      <w:spacing w:line="500" w:lineRule="atLeast"/>
      <w:jc w:val="center"/>
    </w:pPr>
    <w:rPr>
      <w:sz w:val="30"/>
    </w:rPr>
  </w:style>
  <w:style w:type="paragraph" w:styleId="34">
    <w:name w:val="Normal (Web)"/>
    <w:basedOn w:val="1"/>
    <w:unhideWhenUsed/>
    <w:qFormat/>
    <w:uiPriority w:val="99"/>
    <w:rPr>
      <w:szCs w:val="24"/>
    </w:rPr>
  </w:style>
  <w:style w:type="paragraph" w:styleId="35">
    <w:name w:val="annotation subject"/>
    <w:basedOn w:val="12"/>
    <w:next w:val="12"/>
    <w:link w:val="62"/>
    <w:unhideWhenUsed/>
    <w:qFormat/>
    <w:uiPriority w:val="0"/>
    <w:rPr>
      <w:b/>
      <w:bCs/>
    </w:rPr>
  </w:style>
  <w:style w:type="paragraph" w:styleId="36">
    <w:name w:val="Body Text First Indent"/>
    <w:basedOn w:val="2"/>
    <w:unhideWhenUsed/>
    <w:qFormat/>
    <w:uiPriority w:val="0"/>
    <w:pPr>
      <w:spacing w:after="120"/>
      <w:ind w:firstLine="420" w:firstLineChars="100"/>
      <w:jc w:val="both"/>
    </w:pPr>
    <w:rPr>
      <w:sz w:val="21"/>
      <w:szCs w:val="21"/>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rPr>
  </w:style>
  <w:style w:type="character" w:styleId="41">
    <w:name w:val="FollowedHyperlink"/>
    <w:basedOn w:val="39"/>
    <w:unhideWhenUsed/>
    <w:qFormat/>
    <w:uiPriority w:val="0"/>
    <w:rPr>
      <w:color w:val="000000"/>
      <w:u w:val="single"/>
    </w:rPr>
  </w:style>
  <w:style w:type="character" w:styleId="42">
    <w:name w:val="Emphasis"/>
    <w:basedOn w:val="39"/>
    <w:qFormat/>
    <w:uiPriority w:val="20"/>
  </w:style>
  <w:style w:type="character" w:styleId="43">
    <w:name w:val="HTML Definition"/>
    <w:basedOn w:val="39"/>
    <w:unhideWhenUsed/>
    <w:qFormat/>
    <w:uiPriority w:val="0"/>
  </w:style>
  <w:style w:type="character" w:styleId="44">
    <w:name w:val="HTML Typewriter"/>
    <w:basedOn w:val="39"/>
    <w:unhideWhenUsed/>
    <w:qFormat/>
    <w:uiPriority w:val="0"/>
    <w:rPr>
      <w:rFonts w:hint="default" w:ascii="Courier New" w:hAnsi="Courier New" w:cs="Courier New"/>
      <w:sz w:val="20"/>
    </w:rPr>
  </w:style>
  <w:style w:type="character" w:styleId="45">
    <w:name w:val="HTML Acronym"/>
    <w:basedOn w:val="39"/>
    <w:unhideWhenUsed/>
    <w:qFormat/>
    <w:uiPriority w:val="0"/>
  </w:style>
  <w:style w:type="character" w:styleId="46">
    <w:name w:val="HTML Variable"/>
    <w:basedOn w:val="39"/>
    <w:unhideWhenUsed/>
    <w:qFormat/>
    <w:uiPriority w:val="0"/>
  </w:style>
  <w:style w:type="character" w:styleId="47">
    <w:name w:val="Hyperlink"/>
    <w:basedOn w:val="39"/>
    <w:unhideWhenUsed/>
    <w:qFormat/>
    <w:uiPriority w:val="0"/>
    <w:rPr>
      <w:color w:val="000000"/>
      <w:u w:val="single"/>
    </w:rPr>
  </w:style>
  <w:style w:type="character" w:styleId="48">
    <w:name w:val="HTML Code"/>
    <w:basedOn w:val="39"/>
    <w:unhideWhenUsed/>
    <w:qFormat/>
    <w:uiPriority w:val="0"/>
    <w:rPr>
      <w:rFonts w:hint="default" w:ascii="Courier New" w:hAnsi="Courier New" w:cs="Courier New"/>
      <w:sz w:val="20"/>
    </w:rPr>
  </w:style>
  <w:style w:type="character" w:styleId="49">
    <w:name w:val="annotation reference"/>
    <w:unhideWhenUsed/>
    <w:qFormat/>
    <w:uiPriority w:val="0"/>
    <w:rPr>
      <w:sz w:val="21"/>
      <w:szCs w:val="21"/>
    </w:rPr>
  </w:style>
  <w:style w:type="character" w:styleId="50">
    <w:name w:val="HTML Cite"/>
    <w:basedOn w:val="39"/>
    <w:unhideWhenUsed/>
    <w:qFormat/>
    <w:uiPriority w:val="0"/>
  </w:style>
  <w:style w:type="character" w:styleId="51">
    <w:name w:val="HTML Keyboard"/>
    <w:basedOn w:val="39"/>
    <w:unhideWhenUsed/>
    <w:qFormat/>
    <w:uiPriority w:val="0"/>
    <w:rPr>
      <w:rFonts w:ascii="Courier New" w:hAnsi="Courier New" w:cs="Courier New"/>
      <w:sz w:val="20"/>
    </w:rPr>
  </w:style>
  <w:style w:type="character" w:styleId="52">
    <w:name w:val="HTML Sample"/>
    <w:basedOn w:val="39"/>
    <w:unhideWhenUsed/>
    <w:qFormat/>
    <w:uiPriority w:val="0"/>
    <w:rPr>
      <w:rFonts w:hint="default" w:ascii="Courier New" w:hAnsi="Courier New" w:cs="Courier New"/>
    </w:rPr>
  </w:style>
  <w:style w:type="character" w:customStyle="1" w:styleId="53">
    <w:name w:val="文档结构图 Char"/>
    <w:link w:val="11"/>
    <w:semiHidden/>
    <w:qFormat/>
    <w:uiPriority w:val="0"/>
    <w:rPr>
      <w:rFonts w:ascii="宋体"/>
      <w:kern w:val="2"/>
      <w:sz w:val="18"/>
      <w:szCs w:val="18"/>
    </w:rPr>
  </w:style>
  <w:style w:type="character" w:customStyle="1" w:styleId="54">
    <w:name w:val="saw"/>
    <w:basedOn w:val="39"/>
    <w:qFormat/>
    <w:uiPriority w:val="0"/>
  </w:style>
  <w:style w:type="character" w:customStyle="1" w:styleId="55">
    <w:name w:val="font11"/>
    <w:basedOn w:val="39"/>
    <w:qFormat/>
    <w:uiPriority w:val="0"/>
    <w:rPr>
      <w:rFonts w:hint="default" w:ascii="Times New Roman" w:hAnsi="Times New Roman" w:cs="Times New Roman"/>
      <w:color w:val="000000"/>
      <w:sz w:val="21"/>
      <w:szCs w:val="21"/>
      <w:u w:val="none"/>
      <w:vertAlign w:val="subscript"/>
    </w:rPr>
  </w:style>
  <w:style w:type="character" w:customStyle="1" w:styleId="56">
    <w:name w:val="apple-converted-space"/>
    <w:basedOn w:val="39"/>
    <w:qFormat/>
    <w:uiPriority w:val="0"/>
  </w:style>
  <w:style w:type="character" w:customStyle="1" w:styleId="57">
    <w:name w:val="标题 3 Char"/>
    <w:link w:val="5"/>
    <w:qFormat/>
    <w:uiPriority w:val="9"/>
    <w:rPr>
      <w:b/>
      <w:sz w:val="32"/>
    </w:rPr>
  </w:style>
  <w:style w:type="character" w:customStyle="1" w:styleId="58">
    <w:name w:val="Body text|2 + 9 pt"/>
    <w:basedOn w:val="59"/>
    <w:unhideWhenUsed/>
    <w:qFormat/>
    <w:uiPriority w:val="0"/>
    <w:rPr>
      <w:color w:val="000000"/>
      <w:spacing w:val="10"/>
      <w:w w:val="100"/>
      <w:position w:val="0"/>
      <w:sz w:val="18"/>
      <w:szCs w:val="18"/>
      <w:lang w:val="zh-CN" w:eastAsia="zh-CN" w:bidi="zh-CN"/>
    </w:rPr>
  </w:style>
  <w:style w:type="character" w:customStyle="1" w:styleId="59">
    <w:name w:val="Body text|2_"/>
    <w:basedOn w:val="39"/>
    <w:link w:val="60"/>
    <w:qFormat/>
    <w:uiPriority w:val="0"/>
    <w:rPr>
      <w:rFonts w:ascii="PMingLiU" w:hAnsi="PMingLiU" w:eastAsia="PMingLiU" w:cs="PMingLiU"/>
      <w:kern w:val="2"/>
    </w:rPr>
  </w:style>
  <w:style w:type="paragraph" w:customStyle="1" w:styleId="60">
    <w:name w:val="Body text|218"/>
    <w:basedOn w:val="1"/>
    <w:link w:val="59"/>
    <w:qFormat/>
    <w:uiPriority w:val="0"/>
    <w:pPr>
      <w:shd w:val="clear" w:color="auto" w:fill="FFFFFF"/>
      <w:spacing w:line="220" w:lineRule="exact"/>
    </w:pPr>
    <w:rPr>
      <w:rFonts w:ascii="PMingLiU" w:hAnsi="PMingLiU" w:eastAsia="PMingLiU" w:cs="PMingLiU"/>
    </w:rPr>
  </w:style>
  <w:style w:type="character" w:customStyle="1" w:styleId="61">
    <w:name w:val="批注框文本 Char"/>
    <w:link w:val="21"/>
    <w:semiHidden/>
    <w:qFormat/>
    <w:uiPriority w:val="99"/>
    <w:rPr>
      <w:rFonts w:ascii="Times New Roman" w:hAnsi="Times New Roman" w:eastAsia="宋体" w:cs="Times New Roman"/>
      <w:sz w:val="18"/>
      <w:szCs w:val="18"/>
    </w:rPr>
  </w:style>
  <w:style w:type="character" w:customStyle="1" w:styleId="62">
    <w:name w:val="批注主题 Char"/>
    <w:basedOn w:val="63"/>
    <w:link w:val="35"/>
    <w:qFormat/>
    <w:uiPriority w:val="0"/>
  </w:style>
  <w:style w:type="character" w:customStyle="1" w:styleId="63">
    <w:name w:val="批注文字 Char"/>
    <w:link w:val="12"/>
    <w:qFormat/>
    <w:uiPriority w:val="99"/>
    <w:rPr>
      <w:kern w:val="2"/>
      <w:sz w:val="21"/>
    </w:rPr>
  </w:style>
  <w:style w:type="character" w:customStyle="1" w:styleId="64">
    <w:name w:val="font61"/>
    <w:basedOn w:val="39"/>
    <w:qFormat/>
    <w:uiPriority w:val="0"/>
    <w:rPr>
      <w:rFonts w:hint="default" w:ascii="Times New Roman" w:hAnsi="Times New Roman" w:cs="Times New Roman"/>
      <w:b/>
      <w:color w:val="000000"/>
      <w:sz w:val="15"/>
      <w:szCs w:val="15"/>
      <w:u w:val="none"/>
    </w:rPr>
  </w:style>
  <w:style w:type="character" w:customStyle="1" w:styleId="65">
    <w:name w:val="正文（首行缩进两字） Char1"/>
    <w:qFormat/>
    <w:uiPriority w:val="0"/>
    <w:rPr>
      <w:rFonts w:ascii="Calibri" w:hAnsi="Calibri" w:eastAsia="Wingdings" w:cs="??"/>
      <w:kern w:val="2"/>
      <w:sz w:val="24"/>
      <w:lang w:val="en-US" w:eastAsia="zh-CN"/>
    </w:rPr>
  </w:style>
  <w:style w:type="character" w:customStyle="1" w:styleId="66">
    <w:name w:val="正文（首行缩进两字） Char11"/>
    <w:qFormat/>
    <w:uiPriority w:val="0"/>
    <w:rPr>
      <w:rFonts w:ascii="Calibri" w:hAnsi="Calibri" w:eastAsia="Wingdings" w:cs="??"/>
      <w:kern w:val="2"/>
      <w:sz w:val="24"/>
      <w:lang w:val="en-US" w:eastAsia="zh-CN"/>
    </w:rPr>
  </w:style>
  <w:style w:type="character" w:customStyle="1" w:styleId="67">
    <w:name w:val="标题 1 Char"/>
    <w:link w:val="3"/>
    <w:qFormat/>
    <w:uiPriority w:val="9"/>
    <w:rPr>
      <w:rFonts w:ascii="Times New Roman" w:hAnsi="Times New Roman" w:eastAsia="宋体" w:cs="Times New Roman"/>
      <w:b/>
      <w:bCs/>
      <w:kern w:val="44"/>
      <w:sz w:val="44"/>
      <w:szCs w:val="44"/>
    </w:rPr>
  </w:style>
  <w:style w:type="character" w:customStyle="1" w:styleId="68">
    <w:name w:val="font21"/>
    <w:basedOn w:val="39"/>
    <w:qFormat/>
    <w:uiPriority w:val="0"/>
    <w:rPr>
      <w:rFonts w:hint="eastAsia" w:ascii="宋体" w:hAnsi="宋体" w:eastAsia="宋体" w:cs="宋体"/>
      <w:color w:val="000000"/>
      <w:sz w:val="21"/>
      <w:szCs w:val="21"/>
      <w:u w:val="none"/>
      <w:vertAlign w:val="superscript"/>
    </w:rPr>
  </w:style>
  <w:style w:type="paragraph" w:customStyle="1" w:styleId="69">
    <w:name w:val="样式 正文缩进正文缩进2正文缩进 Char Char正文缩进 Char Char Char Char正文缩进 Char ..."/>
    <w:basedOn w:val="9"/>
    <w:qFormat/>
    <w:uiPriority w:val="0"/>
    <w:pPr>
      <w:adjustRightInd w:val="0"/>
      <w:snapToGrid w:val="0"/>
      <w:spacing w:line="360" w:lineRule="auto"/>
      <w:jc w:val="both"/>
    </w:pPr>
    <w:rPr>
      <w:rFonts w:ascii="Times New Roman" w:hAnsi="Times New Roman"/>
      <w:szCs w:val="20"/>
    </w:rPr>
  </w:style>
  <w:style w:type="paragraph" w:customStyle="1" w:styleId="70">
    <w:name w:val="正文缩进1"/>
    <w:basedOn w:val="1"/>
    <w:qFormat/>
    <w:uiPriority w:val="0"/>
    <w:pPr>
      <w:spacing w:before="120" w:line="312" w:lineRule="auto"/>
      <w:ind w:firstLine="420" w:firstLineChars="200"/>
    </w:pPr>
  </w:style>
  <w:style w:type="paragraph" w:customStyle="1" w:styleId="71">
    <w:name w:val="图表题"/>
    <w:basedOn w:val="1"/>
    <w:next w:val="1"/>
    <w:qFormat/>
    <w:uiPriority w:val="0"/>
    <w:pPr>
      <w:adjustRightInd w:val="0"/>
      <w:snapToGrid w:val="0"/>
      <w:spacing w:line="360" w:lineRule="auto"/>
      <w:jc w:val="center"/>
    </w:pPr>
    <w:rPr>
      <w:rFonts w:eastAsia="黑体"/>
      <w:kern w:val="0"/>
    </w:rPr>
  </w:style>
  <w:style w:type="paragraph" w:customStyle="1" w:styleId="72">
    <w:name w:val="zhang正文"/>
    <w:basedOn w:val="13"/>
    <w:next w:val="1"/>
    <w:qFormat/>
    <w:uiPriority w:val="0"/>
    <w:pPr>
      <w:autoSpaceDE w:val="0"/>
      <w:autoSpaceDN w:val="0"/>
      <w:adjustRightInd w:val="0"/>
      <w:snapToGrid w:val="0"/>
      <w:spacing w:line="500" w:lineRule="exact"/>
      <w:ind w:firstLine="539"/>
    </w:pPr>
    <w:rPr>
      <w:rFonts w:eastAsia="楷体_GB2312"/>
      <w:kern w:val="0"/>
      <w:sz w:val="28"/>
    </w:rPr>
  </w:style>
  <w:style w:type="paragraph" w:customStyle="1" w:styleId="73">
    <w:name w:val="表名"/>
    <w:basedOn w:val="1"/>
    <w:qFormat/>
    <w:uiPriority w:val="0"/>
    <w:pPr>
      <w:jc w:val="center"/>
    </w:pPr>
    <w:rPr>
      <w:rFonts w:eastAsia="黑体"/>
    </w:rPr>
  </w:style>
  <w:style w:type="paragraph" w:customStyle="1" w:styleId="74">
    <w:name w:val="标准"/>
    <w:basedOn w:val="1"/>
    <w:qFormat/>
    <w:uiPriority w:val="0"/>
    <w:pPr>
      <w:adjustRightInd w:val="0"/>
      <w:spacing w:line="360" w:lineRule="auto"/>
      <w:textAlignment w:val="baseline"/>
    </w:pPr>
    <w:rPr>
      <w:rFonts w:ascii="宋体"/>
      <w:kern w:val="0"/>
      <w:sz w:val="28"/>
    </w:rPr>
  </w:style>
  <w:style w:type="paragraph" w:customStyle="1" w:styleId="75">
    <w:name w:val="列出段落1"/>
    <w:basedOn w:val="1"/>
    <w:qFormat/>
    <w:uiPriority w:val="99"/>
    <w:pPr>
      <w:ind w:firstLine="420"/>
    </w:pPr>
  </w:style>
  <w:style w:type="paragraph" w:customStyle="1" w:styleId="76">
    <w:name w:val="正文+宋体"/>
    <w:basedOn w:val="1"/>
    <w:qFormat/>
    <w:uiPriority w:val="0"/>
    <w:pPr>
      <w:autoSpaceDE w:val="0"/>
      <w:autoSpaceDN w:val="0"/>
    </w:pPr>
    <w:rPr>
      <w:rFonts w:ascii="宋体" w:hAnsi="宋体"/>
      <w:color w:val="000000"/>
      <w:kern w:val="0"/>
      <w:sz w:val="28"/>
      <w:szCs w:val="18"/>
    </w:rPr>
  </w:style>
  <w:style w:type="paragraph" w:customStyle="1" w:styleId="77">
    <w:name w:val="样式 样式 样式 小四 首行缩进:  2.25 字符 + 首行缩进:  2.25 字符 + 首行缩进:  2 字符"/>
    <w:basedOn w:val="1"/>
    <w:qFormat/>
    <w:uiPriority w:val="0"/>
    <w:pPr>
      <w:spacing w:line="440" w:lineRule="exact"/>
      <w:ind w:firstLine="200" w:firstLineChars="200"/>
    </w:pPr>
  </w:style>
  <w:style w:type="paragraph" w:customStyle="1" w:styleId="78">
    <w:name w:val="表目录"/>
    <w:basedOn w:val="1"/>
    <w:qFormat/>
    <w:uiPriority w:val="0"/>
    <w:pPr>
      <w:adjustRightInd w:val="0"/>
      <w:snapToGrid w:val="0"/>
      <w:jc w:val="center"/>
    </w:pPr>
    <w:rPr>
      <w:rFonts w:ascii="宋体" w:cs="宋体"/>
      <w:sz w:val="21"/>
      <w:szCs w:val="21"/>
    </w:rPr>
  </w:style>
  <w:style w:type="paragraph" w:customStyle="1" w:styleId="79">
    <w:name w:val="正文 New New New New New New New New New New New New New New New New New New New New New New New New New New New New New New New New New New New New New New New New New New New New New New New New New New New New New New New New New New New New New New 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样式3"/>
    <w:basedOn w:val="1"/>
    <w:qFormat/>
    <w:uiPriority w:val="0"/>
    <w:pPr>
      <w:spacing w:line="500" w:lineRule="exact"/>
      <w:ind w:firstLine="200" w:firstLineChars="200"/>
    </w:pPr>
    <w:rPr>
      <w:szCs w:val="24"/>
    </w:rPr>
  </w:style>
  <w:style w:type="paragraph" w:customStyle="1" w:styleId="81">
    <w:name w:val="报告正文 Char"/>
    <w:basedOn w:val="1"/>
    <w:semiHidden/>
    <w:qFormat/>
    <w:uiPriority w:val="0"/>
    <w:pPr>
      <w:adjustRightInd w:val="0"/>
      <w:snapToGrid w:val="0"/>
      <w:spacing w:line="480" w:lineRule="exact"/>
      <w:ind w:firstLine="560" w:firstLineChars="200"/>
    </w:pPr>
    <w:rPr>
      <w:sz w:val="28"/>
      <w:szCs w:val="28"/>
    </w:rPr>
  </w:style>
  <w:style w:type="paragraph" w:customStyle="1" w:styleId="82">
    <w:name w:val="HTML Bottom of Form"/>
    <w:basedOn w:val="1"/>
    <w:next w:val="1"/>
    <w:qFormat/>
    <w:uiPriority w:val="0"/>
    <w:pPr>
      <w:pBdr>
        <w:top w:val="single" w:color="auto" w:sz="6" w:space="1"/>
      </w:pBdr>
      <w:jc w:val="center"/>
    </w:pPr>
    <w:rPr>
      <w:rFonts w:ascii="Arial"/>
      <w:vanish/>
      <w:sz w:val="16"/>
    </w:rPr>
  </w:style>
  <w:style w:type="paragraph" w:customStyle="1" w:styleId="83">
    <w:name w:val="正文(首行缩进)"/>
    <w:basedOn w:val="1"/>
    <w:qFormat/>
    <w:uiPriority w:val="0"/>
    <w:pPr>
      <w:spacing w:line="360" w:lineRule="auto"/>
      <w:ind w:firstLine="450" w:firstLineChars="200"/>
    </w:pPr>
    <w:rPr>
      <w:rFonts w:ascii="宋体" w:hAnsi="宋体"/>
      <w:b/>
      <w:spacing w:val="-8"/>
      <w:kern w:val="24"/>
      <w:szCs w:val="24"/>
    </w:rPr>
  </w:style>
  <w:style w:type="paragraph" w:customStyle="1" w:styleId="84">
    <w:name w:val="表格"/>
    <w:basedOn w:val="1"/>
    <w:qFormat/>
    <w:uiPriority w:val="0"/>
    <w:pPr>
      <w:jc w:val="center"/>
    </w:pPr>
    <w:rPr>
      <w:szCs w:val="24"/>
    </w:rPr>
  </w:style>
  <w:style w:type="paragraph" w:customStyle="1" w:styleId="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6">
    <w:name w:val="文本"/>
    <w:basedOn w:val="1"/>
    <w:qFormat/>
    <w:uiPriority w:val="0"/>
    <w:pPr>
      <w:tabs>
        <w:tab w:val="right" w:leader="dot" w:pos="8296"/>
      </w:tabs>
      <w:adjustRightInd w:val="0"/>
      <w:snapToGrid w:val="0"/>
      <w:spacing w:beforeLines="20"/>
      <w:jc w:val="center"/>
    </w:pPr>
    <w:rPr>
      <w:rFonts w:ascii="宋体" w:hAnsi="宋体"/>
      <w:snapToGrid w:val="0"/>
      <w:kern w:val="21"/>
      <w:sz w:val="20"/>
      <w:szCs w:val="24"/>
    </w:rPr>
  </w:style>
  <w:style w:type="paragraph" w:customStyle="1" w:styleId="87">
    <w:name w:val="报告"/>
    <w:basedOn w:val="1"/>
    <w:qFormat/>
    <w:uiPriority w:val="0"/>
    <w:pPr>
      <w:overflowPunct w:val="0"/>
      <w:autoSpaceDE w:val="0"/>
      <w:autoSpaceDN w:val="0"/>
      <w:adjustRightInd w:val="0"/>
      <w:spacing w:beforeLines="20" w:afterLines="20" w:line="360" w:lineRule="atLeast"/>
      <w:ind w:firstLine="200" w:firstLineChars="200"/>
      <w:jc w:val="left"/>
      <w:textAlignment w:val="baseline"/>
    </w:pPr>
    <w:rPr>
      <w:color w:val="000000"/>
      <w:spacing w:val="8"/>
      <w:kern w:val="0"/>
      <w:szCs w:val="28"/>
    </w:rPr>
  </w:style>
  <w:style w:type="paragraph" w:customStyle="1" w:styleId="88">
    <w:name w:val="Char Char Char Char Char Char Char"/>
    <w:basedOn w:val="1"/>
    <w:qFormat/>
    <w:uiPriority w:val="0"/>
    <w:pPr>
      <w:spacing w:line="360" w:lineRule="auto"/>
      <w:ind w:firstLine="200" w:firstLineChars="200"/>
    </w:pPr>
    <w:rPr>
      <w:rFonts w:ascii="宋体" w:hAnsi="宋体" w:cs="宋体"/>
    </w:rPr>
  </w:style>
  <w:style w:type="paragraph" w:customStyle="1" w:styleId="89">
    <w:name w:val="图表标题"/>
    <w:basedOn w:val="1"/>
    <w:qFormat/>
    <w:uiPriority w:val="0"/>
    <w:pPr>
      <w:adjustRightInd w:val="0"/>
      <w:snapToGrid w:val="0"/>
      <w:spacing w:line="336" w:lineRule="auto"/>
      <w:jc w:val="center"/>
    </w:pPr>
    <w:rPr>
      <w:rFonts w:ascii="Calibri" w:hAnsi="Calibri"/>
      <w:b/>
      <w:kern w:val="0"/>
      <w:sz w:val="21"/>
    </w:rPr>
  </w:style>
  <w:style w:type="paragraph" w:customStyle="1" w:styleId="90">
    <w:name w:val="表格标题"/>
    <w:basedOn w:val="1"/>
    <w:qFormat/>
    <w:uiPriority w:val="0"/>
    <w:pPr>
      <w:autoSpaceDE w:val="0"/>
      <w:autoSpaceDN w:val="0"/>
      <w:spacing w:before="120"/>
      <w:jc w:val="center"/>
    </w:pPr>
    <w:rPr>
      <w:rFonts w:ascii="Calibri" w:hAnsi="Calibri"/>
      <w:b/>
      <w:spacing w:val="19"/>
    </w:rPr>
  </w:style>
  <w:style w:type="paragraph" w:customStyle="1" w:styleId="91">
    <w:name w:val="表第一列"/>
    <w:basedOn w:val="36"/>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0"/>
    </w:rPr>
  </w:style>
  <w:style w:type="paragraph" w:customStyle="1" w:styleId="92">
    <w:name w:val="表内文字"/>
    <w:basedOn w:val="73"/>
    <w:qFormat/>
    <w:uiPriority w:val="0"/>
    <w:pPr>
      <w:spacing w:line="360" w:lineRule="atLeast"/>
    </w:pPr>
  </w:style>
  <w:style w:type="paragraph" w:customStyle="1" w:styleId="93">
    <w:name w:val="无悬挂正文5号"/>
    <w:basedOn w:val="1"/>
    <w:qFormat/>
    <w:uiPriority w:val="0"/>
    <w:pPr>
      <w:jc w:val="center"/>
    </w:pPr>
  </w:style>
  <w:style w:type="paragraph" w:customStyle="1" w:styleId="94">
    <w:name w:val="xl25"/>
    <w:basedOn w:val="1"/>
    <w:qFormat/>
    <w:uiPriority w:val="0"/>
    <w:pPr>
      <w:widowControl/>
      <w:spacing w:before="100" w:beforeAutospacing="1" w:after="100" w:afterAutospacing="1"/>
      <w:jc w:val="center"/>
      <w:textAlignment w:val="top"/>
    </w:pPr>
    <w:rPr>
      <w:kern w:val="0"/>
      <w:szCs w:val="21"/>
    </w:rPr>
  </w:style>
  <w:style w:type="paragraph" w:customStyle="1" w:styleId="95">
    <w:name w:val="项目编号"/>
    <w:basedOn w:val="1"/>
    <w:next w:val="1"/>
    <w:qFormat/>
    <w:uiPriority w:val="0"/>
    <w:pPr>
      <w:spacing w:before="120" w:after="120" w:line="360" w:lineRule="auto"/>
    </w:pPr>
  </w:style>
  <w:style w:type="paragraph" w:customStyle="1" w:styleId="96">
    <w:name w:val="1"/>
    <w:basedOn w:val="1"/>
    <w:next w:val="13"/>
    <w:qFormat/>
    <w:uiPriority w:val="0"/>
    <w:pPr>
      <w:spacing w:line="360" w:lineRule="auto"/>
      <w:ind w:firstLine="480" w:firstLineChars="200"/>
    </w:pPr>
    <w:rPr>
      <w:rFonts w:ascii="仿宋_GB2312" w:eastAsia="仿宋_GB2312"/>
    </w:rPr>
  </w:style>
  <w:style w:type="paragraph" w:customStyle="1" w:styleId="97">
    <w:name w:val="列出段落11"/>
    <w:basedOn w:val="1"/>
    <w:qFormat/>
    <w:uiPriority w:val="34"/>
    <w:pPr>
      <w:ind w:firstLine="420" w:firstLineChars="200"/>
    </w:pPr>
  </w:style>
  <w:style w:type="paragraph" w:customStyle="1" w:styleId="98">
    <w:name w:val="reader-word-layer reader-word-s32-4"/>
    <w:basedOn w:val="1"/>
    <w:qFormat/>
    <w:uiPriority w:val="0"/>
    <w:pPr>
      <w:widowControl/>
      <w:spacing w:before="100" w:beforeAutospacing="1" w:after="100" w:afterAutospacing="1"/>
      <w:jc w:val="left"/>
    </w:pPr>
    <w:rPr>
      <w:rFonts w:ascii="宋体" w:hAnsi="宋体" w:cs="宋体"/>
      <w:kern w:val="0"/>
    </w:rPr>
  </w:style>
  <w:style w:type="paragraph" w:customStyle="1" w:styleId="99">
    <w:name w:val="ourfont3"/>
    <w:basedOn w:val="1"/>
    <w:qFormat/>
    <w:uiPriority w:val="99"/>
    <w:pPr>
      <w:widowControl/>
      <w:spacing w:before="100" w:beforeAutospacing="1" w:after="100" w:afterAutospacing="1" w:line="340" w:lineRule="atLeast"/>
      <w:jc w:val="left"/>
    </w:pPr>
    <w:rPr>
      <w:rFonts w:ascii="宋体" w:hAnsi="宋体" w:cs="宋体"/>
      <w:spacing w:val="20"/>
      <w:kern w:val="0"/>
      <w:szCs w:val="21"/>
    </w:rPr>
  </w:style>
  <w:style w:type="paragraph" w:styleId="100">
    <w:name w:val="No Spacing"/>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101">
    <w:name w:val="正文（首行缩进两字）m"/>
    <w:basedOn w:val="9"/>
    <w:qFormat/>
    <w:uiPriority w:val="0"/>
    <w:pPr>
      <w:tabs>
        <w:tab w:val="left" w:pos="1848"/>
        <w:tab w:val="left" w:pos="6061"/>
        <w:tab w:val="left" w:pos="8665"/>
      </w:tabs>
      <w:adjustRightInd w:val="0"/>
      <w:snapToGrid w:val="0"/>
      <w:spacing w:beforeLines="50" w:line="460" w:lineRule="exact"/>
      <w:ind w:firstLine="480"/>
    </w:pPr>
    <w:rPr>
      <w:rFonts w:ascii="??" w:hAnsi="??" w:eastAsia="Wingdings" w:cs="Times New Roman"/>
      <w:color w:val="339966"/>
      <w:sz w:val="20"/>
    </w:rPr>
  </w:style>
  <w:style w:type="paragraph" w:customStyle="1" w:styleId="102">
    <w:name w:val="Table Paragraph"/>
    <w:basedOn w:val="1"/>
    <w:qFormat/>
    <w:uiPriority w:val="1"/>
  </w:style>
  <w:style w:type="paragraph" w:customStyle="1" w:styleId="103">
    <w:name w:val="一级标题附录"/>
    <w:basedOn w:val="1"/>
    <w:qFormat/>
    <w:uiPriority w:val="0"/>
    <w:pPr>
      <w:widowControl/>
      <w:spacing w:line="360" w:lineRule="auto"/>
      <w:ind w:firstLine="482" w:firstLineChars="200"/>
      <w:jc w:val="left"/>
    </w:pPr>
    <w:rPr>
      <w:b/>
      <w:bCs/>
      <w:kern w:val="24"/>
    </w:rPr>
  </w:style>
  <w:style w:type="paragraph" w:customStyle="1" w:styleId="104">
    <w:name w:val="表格2"/>
    <w:basedOn w:val="1"/>
    <w:qFormat/>
    <w:uiPriority w:val="0"/>
    <w:pPr>
      <w:spacing w:line="400" w:lineRule="exact"/>
      <w:jc w:val="center"/>
    </w:pPr>
  </w:style>
  <w:style w:type="paragraph" w:customStyle="1" w:styleId="105">
    <w:name w:val="表头1"/>
    <w:basedOn w:val="1"/>
    <w:next w:val="1"/>
    <w:qFormat/>
    <w:uiPriority w:val="0"/>
    <w:pPr>
      <w:tabs>
        <w:tab w:val="left" w:pos="605"/>
      </w:tabs>
      <w:adjustRightInd w:val="0"/>
      <w:snapToGrid w:val="0"/>
      <w:jc w:val="center"/>
    </w:pPr>
    <w:rPr>
      <w:rFonts w:eastAsia="黑体"/>
      <w:kern w:val="0"/>
      <w:sz w:val="21"/>
      <w:szCs w:val="28"/>
    </w:rPr>
  </w:style>
  <w:style w:type="paragraph" w:customStyle="1" w:styleId="106">
    <w:name w:val="HTML Top of Form"/>
    <w:basedOn w:val="1"/>
    <w:next w:val="1"/>
    <w:qFormat/>
    <w:uiPriority w:val="0"/>
    <w:pPr>
      <w:pBdr>
        <w:bottom w:val="single" w:color="auto" w:sz="6" w:space="1"/>
      </w:pBdr>
      <w:jc w:val="center"/>
    </w:pPr>
    <w:rPr>
      <w:rFonts w:ascii="Arial"/>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wmf"/><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3074"/>
    <customShpInfo spid="_x0000_s3075"/>
    <customShpInfo spid="_x0000_s2054"/>
    <customShpInfo spid="_x0000_s2055"/>
    <customShpInfo spid="_x0000_s2056"/>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057"/>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144"/>
    <customShpInfo spid="_x0000_s2368"/>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37"/>
    <customShpInfo spid="_x0000_s2457"/>
    <customShpInfo spid="_x0000_s24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44869</Words>
  <Characters>45768</Characters>
  <Lines>1476</Lines>
  <Paragraphs>809</Paragraphs>
  <TotalTime>17</TotalTime>
  <ScaleCrop>false</ScaleCrop>
  <LinksUpToDate>false</LinksUpToDate>
  <CharactersWithSpaces>89828</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2022-12-01T01:30:00Z</dcterms:created>
  <dc:creator>Administrator</dc:creator>
  <cp:lastModifiedBy>办公室</cp:lastModifiedBy>
  <cp:lastPrinted>2016-06-07T08:46:00Z</cp:lastPrinted>
  <dcterms:modified xsi:type="dcterms:W3CDTF">2024-03-20T08:31:45Z</dcterms:modified>
  <dc:title>《建设项目环境影响报告表》编制说明</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2052-11.8.6.11020</vt:lpwstr>
  </property>
  <property fmtid="{D5CDD505-2E9C-101B-9397-08002B2CF9AE}" pid="3" name="ICV">
    <vt:lpwstr>6BF93E42498E4573B379E0B8AC496643</vt:lpwstr>
  </property>
</Properties>
</file>